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5247" w:type="dxa"/>
        <w:tblLayout w:type="fixed"/>
        <w:tblCellMar>
          <w:left w:w="108" w:type="dxa"/>
          <w:top w:w="0" w:type="dxa"/>
          <w:right w:w="108" w:type="dxa"/>
          <w:bottom w:w="0" w:type="dxa"/>
        </w:tblCellMar>
      </w:tblPr>
      <w:tblGrid>
        <w:gridCol w:w="4392"/>
      </w:tblGrid>
      <w:tr>
        <w:trPr>
          <w:trHeight w:val="1451"/>
        </w:trPr>
        <w:tc>
          <w:tcPr>
            <w:tcW w:w="439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7"/>
                <w:szCs w:val="27"/>
              </w:rPr>
              <w:t xml:space="preserve">Приложение </w:t>
            </w:r>
          </w:p>
          <w:p>
            <w:pPr>
              <w:pStyle w:val="Normal"/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7"/>
                <w:szCs w:val="27"/>
              </w:rPr>
            </w:r>
          </w:p>
          <w:p>
            <w:pPr>
              <w:pStyle w:val="Normal"/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7"/>
                <w:szCs w:val="27"/>
              </w:rPr>
              <w:t xml:space="preserve">УТВЕРЖДЕН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7"/>
                <w:szCs w:val="27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7"/>
                <w:szCs w:val="27"/>
              </w:rPr>
            </w:r>
          </w:p>
          <w:p>
            <w:pPr>
              <w:pStyle w:val="Normal"/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7"/>
                <w:szCs w:val="27"/>
              </w:rPr>
              <w:t xml:space="preserve">постановлением администрации Ивнянского района</w:t>
            </w:r>
          </w:p>
          <w:p>
            <w:pPr>
              <w:pStyle w:val="Normal"/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7"/>
                <w:szCs w:val="27"/>
              </w:rPr>
              <w:t xml:space="preserve">«___ »__________  202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7"/>
                <w:szCs w:val="27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7"/>
                <w:szCs w:val="27"/>
              </w:rPr>
              <w:t xml:space="preserve"> г. № ____</w:t>
            </w:r>
          </w:p>
          <w:p>
            <w:pPr>
              <w:pStyle w:val="Normal"/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7"/>
                <w:szCs w:val="27"/>
              </w:rPr>
            </w:r>
          </w:p>
        </w:tc>
      </w:tr>
    </w:tbl>
    <w:p>
      <w:pPr>
        <w:pStyle w:val="Normal"/>
        <w:spacing w:after="0" w:line="240" w:lineRule="auto"/>
        <w:ind w:left="36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</w:r>
    </w:p>
    <w:p>
      <w:pPr>
        <w:pStyle w:val="Normal"/>
        <w:spacing w:after="0" w:line="240" w:lineRule="auto"/>
        <w:ind w:left="36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</w:r>
    </w:p>
    <w:p>
      <w:pPr>
        <w:pStyle w:val="Normal"/>
        <w:spacing w:after="0" w:line="240" w:lineRule="auto"/>
        <w:ind w:left="36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Муниципальная</w:t>
      </w:r>
      <w:r>
        <w:rPr>
          <w:rFonts w:ascii="Times New Roman" w:hAnsi="Times New Roman" w:cs="Times New Roman"/>
          <w:b/>
          <w:spacing w:val="63"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</w:rPr>
        <w:t xml:space="preserve">программа</w:t>
      </w:r>
    </w:p>
    <w:p>
      <w:pPr>
        <w:pStyle w:val="Normal"/>
        <w:spacing w:after="0" w:line="240" w:lineRule="auto"/>
        <w:ind w:left="36"/>
        <w:jc w:val="center"/>
        <w:rPr>
          <w:rFonts w:ascii="Times New Roman" w:hAnsi="Times New Roman" w:eastAsia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«</w:t>
      </w:r>
      <w:bookmarkStart w:id="0" w:name="_Hlk181259205"/>
      <w:r>
        <w:rPr>
          <w:rFonts w:ascii="Times New Roman" w:hAnsi="Times New Roman" w:cs="Times New Roman"/>
          <w:b/>
          <w:sz w:val="27"/>
          <w:szCs w:val="27"/>
        </w:rPr>
        <w:t xml:space="preserve">Развитие физической культуры и спорта на территории </w:t>
        <w:br w:type="textWrapping" w:clear="all"/>
        <w:t xml:space="preserve">Ивнянского района</w:t>
      </w:r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»</w:t>
      </w:r>
      <w:r>
        <w:rPr>
          <w:rFonts w:ascii="Times New Roman" w:hAnsi="Times New Roman" w:eastAsia="Times New Roman" w:cs="Times New Roman"/>
          <w:b/>
          <w:sz w:val="27"/>
          <w:szCs w:val="27"/>
        </w:rPr>
      </w:r>
    </w:p>
    <w:p>
      <w:pPr>
        <w:pStyle w:val="Normal"/>
        <w:widowControl w:val="off"/>
        <w:spacing w:after="0" w:line="240" w:lineRule="auto"/>
        <w:ind w:left="36" w:right="50"/>
        <w:jc w:val="center"/>
        <w:rPr>
          <w:rFonts w:ascii="Times New Roman" w:hAnsi="Times New Roman" w:eastAsia="Times New Roman" w:cs="Times New Roman"/>
          <w:b/>
          <w:sz w:val="27"/>
          <w:szCs w:val="27"/>
        </w:rPr>
      </w:pPr>
      <w:r>
        <w:rPr>
          <w:rFonts w:ascii="Times New Roman" w:hAnsi="Times New Roman" w:eastAsia="Times New Roman" w:cs="Times New Roman"/>
          <w:b/>
          <w:sz w:val="27"/>
          <w:szCs w:val="27"/>
        </w:rPr>
      </w:r>
    </w:p>
    <w:p>
      <w:pPr>
        <w:pStyle w:val="179"/>
        <w:widowControl w:val="off"/>
        <w:numPr>
          <w:numId w:val="5"/>
          <w:ilvl w:val="0"/>
        </w:numPr>
        <w:spacing w:after="0" w:line="240" w:lineRule="auto"/>
        <w:ind w:left="36" w:firstLine="0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Стратегические</w:t>
      </w:r>
      <w:r>
        <w:rPr>
          <w:rFonts w:ascii="Times New Roman" w:hAnsi="Times New Roman" w:cs="Times New Roman"/>
          <w:b/>
          <w:spacing w:val="35"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</w:rPr>
        <w:t xml:space="preserve">приоритеты</w:t>
      </w:r>
      <w:r>
        <w:rPr>
          <w:rFonts w:ascii="Times New Roman" w:hAnsi="Times New Roman" w:cs="Times New Roman"/>
          <w:b/>
          <w:spacing w:val="31"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</w:rPr>
        <w:t xml:space="preserve">муниципальной</w:t>
      </w:r>
      <w:r>
        <w:rPr>
          <w:rFonts w:ascii="Times New Roman" w:hAnsi="Times New Roman" w:cs="Times New Roman"/>
          <w:b/>
          <w:spacing w:val="53"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</w:rPr>
        <w:t xml:space="preserve">программы</w:t>
      </w:r>
    </w:p>
    <w:p>
      <w:pPr>
        <w:pStyle w:val="Heading1"/>
        <w:keepNext w:val="0"/>
        <w:widowControl w:val="off"/>
        <w:numPr>
          <w:numId w:val="5"/>
          <w:ilvl w:val="1"/>
        </w:numPr>
        <w:ind w:left="36" w:right="50" w:firstLine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Общая характеристика сферы реализации муниципальной программы,</w:t>
      </w:r>
      <w:r>
        <w:rPr>
          <w:b/>
          <w:sz w:val="27"/>
          <w:szCs w:val="27"/>
          <w:lang w:val="ru-RU"/>
        </w:rPr>
        <w:t xml:space="preserve"> </w:t>
      </w:r>
      <w:r>
        <w:rPr>
          <w:b/>
          <w:sz w:val="27"/>
          <w:szCs w:val="27"/>
        </w:rPr>
        <w:t xml:space="preserve">в том числе формулировки основных проблем в указанной сфере и прогноз </w:t>
      </w:r>
      <w:r>
        <w:rPr>
          <w:rFonts w:eastAsia="DengXian"/>
          <w:b/>
          <w:sz w:val="27"/>
          <w:szCs w:val="27"/>
        </w:rPr>
        <w:br w:type="textWrapping" w:clear="all"/>
      </w:r>
      <w:r>
        <w:rPr>
          <w:b/>
          <w:sz w:val="27"/>
          <w:szCs w:val="27"/>
        </w:rPr>
        <w:t xml:space="preserve">её развития</w:t>
      </w:r>
    </w:p>
    <w:p>
      <w:pPr>
        <w:pStyle w:val="Normal"/>
        <w:widowControl w:val="off"/>
        <w:spacing w:line="240" w:lineRule="auto"/>
        <w:ind w:right="50"/>
        <w:jc w:val="center"/>
        <w:rPr>
          <w:rFonts w:ascii="Times New Roman" w:hAnsi="Times New Roman" w:cs="Times New Roman"/>
          <w:b/>
          <w:sz w:val="27"/>
          <w:szCs w:val="27"/>
          <w:lang w:val="zh-CN"/>
        </w:rPr>
      </w:pPr>
      <w:r>
        <w:rPr>
          <w:rFonts w:ascii="Times New Roman" w:hAnsi="Times New Roman" w:cs="Times New Roman"/>
          <w:b/>
          <w:sz w:val="27"/>
          <w:szCs w:val="27"/>
          <w:lang w:val="zh-CN"/>
        </w:rPr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eastAsia="Calibri" w:cs="Times New Roman"/>
          <w:sz w:val="27"/>
          <w:szCs w:val="27"/>
          <w:lang w:eastAsia="en-US"/>
        </w:rPr>
      </w:pP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Стратегией социально-экономического развития муниципального района «Ивнянский район» Белгородской области опр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еделена стратегическая цель развития района – повышение благосостояния населения на основе всестороннего использования внутреннего потенциала муниципального образования, развития социальной инфраструктуры и бизнеса.</w:t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eastAsia="Calibri" w:cs="Times New Roman"/>
          <w:sz w:val="27"/>
          <w:szCs w:val="27"/>
          <w:lang w:eastAsia="en-US"/>
        </w:rPr>
      </w:pP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Физическая культура и спорт являются сос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тавной частью воспитательного процесса подрастающего поколения и одним из основных условий организации здорового образа жизни для различных категорий населения района. Их основное назначение – укрепление здоровья, повышение физических и функциональных возм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ожностей организма человека, обеспечение здорового отдыха, повышение трудового потенциала.</w:t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eastAsia="Calibri" w:cs="Times New Roman"/>
          <w:sz w:val="27"/>
          <w:szCs w:val="27"/>
          <w:lang w:eastAsia="en-US"/>
        </w:rPr>
      </w:pP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Физкультурно-оздоровительную и спортивную работу в районе проводят </w:t>
        <w:br w:type="textWrapping" w:clear="all"/>
        <w:t xml:space="preserve">17 общеобразовательных школ и 3 муниципальных учреждения физкультурно-спортивной направленности.</w:t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eastAsia="Calibri" w:cs="Times New Roman"/>
          <w:sz w:val="27"/>
          <w:szCs w:val="27"/>
          <w:lang w:eastAsia="en-US"/>
        </w:rPr>
      </w:pP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В районе большое внимание уделяется укреплению материально- спортивной базы, позволяющей наращивать объёмы вовлечения широких слоёв населения 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br w:type="textWrapping" w:clear="all"/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в сферу физкультурно-оздоровительной и спортивной деятельности.</w:t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eastAsia="Calibri" w:cs="Times New Roman"/>
          <w:sz w:val="27"/>
          <w:szCs w:val="27"/>
          <w:lang w:eastAsia="en-US"/>
        </w:rPr>
      </w:pP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В структуру материально-технической базы физическ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ой культуры и спорта входят 89 спортивных сооружений, в том числе 1 физкультурно- оздоровительный комплекс, 26 спортивных залов, 1 крытый плавательн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ый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 бассейн, 35 плоскостных спортивных сооружений.</w:t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eastAsia="Calibri" w:cs="Times New Roman"/>
          <w:sz w:val="27"/>
          <w:szCs w:val="27"/>
          <w:lang w:eastAsia="en-US"/>
        </w:rPr>
      </w:pP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С целью привлечения населения к систематическим занятиям ф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изической культурой в Ивнянском районе разработана и внедрена система проведения районных физкультурно-оздоровительных и спортивно-массовых мероприятий среди различных возрастных групп населения, которая осуществляется 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br w:type="textWrapping" w:clear="all"/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в соответствии с районным календарны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м планом.</w:t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eastAsia="Calibri" w:cs="Times New Roman"/>
          <w:sz w:val="27"/>
          <w:szCs w:val="27"/>
          <w:lang w:eastAsia="en-US"/>
        </w:rPr>
      </w:pP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В районе активно развивается 14 видов спорта, из них базовые олимпийские (пулевая стрельба, волейбол, плавание, финская ходьба, бадминтон, шахматы, спортивное ориентирование, настольный теннис, полиатлон, дзюдо, легкая атлетика, футбол). Большое 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внимание уделяется и другим массовым видам спорта: футбол, лыжный спорт, хоккей, туризм.</w:t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eastAsia="Calibri" w:cs="Times New Roman"/>
          <w:sz w:val="27"/>
          <w:szCs w:val="27"/>
          <w:lang w:eastAsia="en-US"/>
        </w:rPr>
      </w:pP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Сфера действия муниципальной программы охватывает население всех возрастов и категорий. Формирование потребности в систематических занятиях физической культурой необхо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димо начинать уже с дошкольного возраста. Именно 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br w:type="textWrapping" w:clear="all"/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в дошкольном возрасте закладываются основы ценностного отношения 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br w:type="textWrapping" w:clear="all"/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к здоровью, физическо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му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 развити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ю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, развиваются двигательные навыки, формируется положительное отношение к физической культуре и здоровому обр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азу жизни.</w:t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eastAsia="Calibri" w:cs="Times New Roman"/>
          <w:sz w:val="27"/>
          <w:szCs w:val="27"/>
          <w:lang w:eastAsia="en-US"/>
        </w:rPr>
      </w:pP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Задача 1. Развитие физической культуры в образовательных учреждениях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.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eastAsia="Calibri" w:cs="Times New Roman"/>
          <w:sz w:val="27"/>
          <w:szCs w:val="27"/>
          <w:lang w:eastAsia="en-US"/>
        </w:rPr>
      </w:pP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Сохранить и повысить уровень резервов здоровья и физического развития, воспитать устойчивый интерес детей к занятиям физической культурой позволяет интеграция в образовательны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й процесс научно обоснованных двигательных режимов.</w:t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eastAsia="Calibri" w:cs="Times New Roman"/>
          <w:sz w:val="27"/>
          <w:szCs w:val="27"/>
          <w:lang w:eastAsia="en-US"/>
        </w:rPr>
      </w:pP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Особого внимания требует организация внеклассной работы по физической культуре в общеобразовательных школах. Являясь составной частью общей системы физического воспитания детей школьного возраста, внеклас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сная работа 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br w:type="textWrapping" w:clear="all"/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по отношению к учебной занимает подчинённое положение, осуществляется </w:t>
        <w:br w:type="textWrapping" w:clear="all"/>
        <w:t xml:space="preserve">на добровольных началах. С целью наибольшего охвата школьников в районе реализуются мероприятия в рамках всероссийских соревнований «Мини-футбол </w:t>
        <w:br w:type="textWrapping" w:clear="all"/>
        <w:t xml:space="preserve">в школу», «Кожаный мяч», «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Колосок», всероссийских массовых акций «Лыжня России». В районе проводятся физкультурно-спортивные мероприятия среди школьников по сдаче системы нормативов «Готов к труду и обороне».</w:t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eastAsia="Calibri" w:cs="Times New Roman"/>
          <w:sz w:val="27"/>
          <w:szCs w:val="27"/>
          <w:lang w:eastAsia="en-US"/>
        </w:rPr>
      </w:pP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Задача 2. Развитие физической культуры по месту жительства.</w:t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eastAsia="Calibri" w:cs="Times New Roman"/>
          <w:sz w:val="27"/>
          <w:szCs w:val="27"/>
          <w:lang w:eastAsia="en-US"/>
        </w:rPr>
      </w:pP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Широкое привл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ечение к систематическим занятиям физической культурой взрослого населения области требует создания необходимых условий по месту жительства. Открытые спортивные сооружения, находящиеся в шаговой доступности, пользуются большой популярностью и способны прив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лекать значительное число людей самого разного возраста. С целью обеспечения 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br w:type="textWrapping" w:clear="all"/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и доступности спортивных сооружений реализован проект «Спортивный двор», 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br w:type="textWrapping" w:clear="all"/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в рамках которого построено и реконструировано более 5 открытых площадок. 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br w:type="textWrapping" w:clear="all"/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В рамках проекта «Развитие де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тского и молодёжного хоккея» построены 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br w:type="textWrapping" w:clear="all"/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2 хоккейные коробки, также в посёлке построена площадка для занятий уличной гимнастикой (workout).</w:t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eastAsia="Calibri" w:cs="Times New Roman"/>
          <w:sz w:val="27"/>
          <w:szCs w:val="27"/>
          <w:lang w:eastAsia="en-US"/>
        </w:rPr>
      </w:pP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Особое внимание следует уделять физкультурно-массовой работе по месту жительства в сельской местности. Анализ состоян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ия данной деятельности показал, что при удовлетворительной обеспеченности спортивными сооружениями </w:t>
        <w:br w:type="textWrapping" w:clear="all"/>
        <w:t xml:space="preserve">их загруженность в вечернее время недостаточна. Это связано с тем, что учитель физической культуры общеобразовательной школы не в состоянии один организоват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ь данную работу с 8 до 22 часов. Таким образом, для организации спортивно-массовой работы в вечернее время требуется привлечение тренеров-преподавателей детско-юношеских спортивных школ и педагогов 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br w:type="textWrapping" w:clear="all"/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по месту жительства и обеспечение их методической литерат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урой.</w:t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eastAsia="Calibri" w:cs="Times New Roman"/>
          <w:sz w:val="27"/>
          <w:szCs w:val="27"/>
          <w:lang w:eastAsia="en-US"/>
        </w:rPr>
      </w:pP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Для вовлечения сельских жителей в систематические занятия физической культурой в районе проводятся сельские спартакиады. Данный формат проведения спортивных мероприятий позволяет привлечь к участию жителей каждого сельского поселения.</w:t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eastAsia="Calibri" w:cs="Times New Roman"/>
          <w:sz w:val="27"/>
          <w:szCs w:val="27"/>
          <w:lang w:eastAsia="en-US"/>
        </w:rPr>
      </w:pP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Задача 3. Разви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тие физической культуры в трудовых коллективах.</w:t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eastAsia="Calibri" w:cs="Times New Roman"/>
          <w:sz w:val="27"/>
          <w:szCs w:val="27"/>
          <w:lang w:eastAsia="en-US"/>
        </w:rPr>
      </w:pP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На сегодняшний день в районе нет хорошей постановки физкультурно-массовой работы в трудовых коллективах района. Возрождается традиция проведения отраслевых спартакиад по наиболее массовым видам спорта. Одной 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из главных целей спартакиад является привлечение внимания работодателей к спортивной жизни своих работников. Трудовые коллективы являются важнейшим звеном приобщения людей к систематическим занятиям физической культурой в целях оздоровления работников, пов</w:t>
      </w:r>
      <w:r>
        <w:rPr>
          <w:rFonts w:ascii="Times New Roman" w:hAnsi="Times New Roman" w:eastAsia="Calibri" w:cs="Times New Roman"/>
          <w:sz w:val="27"/>
          <w:szCs w:val="27"/>
          <w:lang w:eastAsia="en-US"/>
        </w:rPr>
        <w:t xml:space="preserve">ышения производительности труда, укрепления корпоративного единства.</w:t>
      </w:r>
    </w:p>
    <w:p>
      <w:pPr>
        <w:pStyle w:val="Normal"/>
        <w:spacing w:after="0" w:line="240" w:lineRule="auto"/>
        <w:ind w:left="709"/>
        <w:jc w:val="both"/>
        <w:rPr>
          <w:rFonts w:ascii="Times New Roman" w:hAnsi="Times New Roman" w:eastAsia="Calibri" w:cs="Times New Roman"/>
          <w:sz w:val="27"/>
          <w:szCs w:val="27"/>
          <w:lang w:eastAsia="en-US"/>
        </w:rPr>
      </w:pPr>
      <w:r>
        <w:rPr>
          <w:rFonts w:ascii="Times New Roman" w:hAnsi="Times New Roman" w:eastAsia="Calibri" w:cs="Times New Roman"/>
          <w:sz w:val="27"/>
          <w:szCs w:val="27"/>
          <w:lang w:eastAsia="en-US"/>
        </w:rPr>
      </w:r>
    </w:p>
    <w:p>
      <w:pPr>
        <w:pStyle w:val="Heading1"/>
        <w:keepNext w:val="0"/>
        <w:widowControl w:val="off"/>
        <w:numPr>
          <w:numId w:val="5"/>
          <w:ilvl w:val="1"/>
        </w:numPr>
        <w:ind w:left="0" w:right="50" w:firstLine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Приоритеты муниципальной политики в сфере реализации муниципальной программы, цели, задачи и описание показателей конечного результата и сроков реализации муниципальной программы</w:t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Приори</w:t>
      </w:r>
      <w:r>
        <w:rPr>
          <w:rFonts w:ascii="Times New Roman" w:hAnsi="Times New Roman" w:cs="Times New Roman"/>
          <w:sz w:val="27"/>
          <w:szCs w:val="27"/>
        </w:rPr>
        <w:t xml:space="preserve">теты муниципальной программы на долгосрочную перспективу </w:t>
        <w:br w:type="textWrapping" w:clear="all"/>
        <w:t xml:space="preserve">в сфере физической культуры и спорта в Ивнянском районе установлены стратегией развития Ивнянского района.</w:t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Цель 1: Создание условий для развития массовой физической культуры </w:t>
        <w:br w:type="textWrapping" w:clear="all"/>
        <w:t xml:space="preserve">и массового спорта сред</w:t>
      </w:r>
      <w:r>
        <w:rPr>
          <w:rFonts w:ascii="Times New Roman" w:hAnsi="Times New Roman" w:cs="Times New Roman"/>
          <w:sz w:val="27"/>
          <w:szCs w:val="27"/>
        </w:rPr>
        <w:t xml:space="preserve">и различных категорий населения района. </w:t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Достижение данной цели возможно при решении следующих задач:</w:t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Задача 1. </w:t>
      </w:r>
      <w:r>
        <w:rPr>
          <w:rFonts w:ascii="Times New Roman" w:hAnsi="Times New Roman" w:cs="Times New Roman"/>
          <w:sz w:val="27"/>
          <w:szCs w:val="27"/>
        </w:rPr>
        <w:t xml:space="preserve">Популяризация физической культуры и спорта, здорового образа жизни среди различных категорий населения района Формирование системы патриотическо</w:t>
      </w:r>
      <w:r>
        <w:rPr>
          <w:rFonts w:ascii="Times New Roman" w:hAnsi="Times New Roman" w:cs="Times New Roman"/>
          <w:sz w:val="27"/>
          <w:szCs w:val="27"/>
        </w:rPr>
        <w:t xml:space="preserve">го воспитания в Ивнянском районе.</w:t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 результате реализации муниципальной программы будут достигнуты следующие показатели:</w:t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Показатель 1. </w:t>
      </w:r>
      <w:r>
        <w:rPr>
          <w:rFonts w:ascii="Times New Roman" w:hAnsi="Times New Roman" w:cs="Times New Roman"/>
          <w:sz w:val="27"/>
          <w:szCs w:val="27"/>
        </w:rPr>
        <w:t xml:space="preserve">Увеличение к 2030 году до 39 процентов доли населения граждан Ивнянского района, систематически занимающихся физической к</w:t>
      </w:r>
      <w:r>
        <w:rPr>
          <w:rFonts w:ascii="Times New Roman" w:hAnsi="Times New Roman" w:cs="Times New Roman"/>
          <w:sz w:val="27"/>
          <w:szCs w:val="27"/>
        </w:rPr>
        <w:t xml:space="preserve">ультурой и спортом.</w:t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Показатель 2. </w:t>
      </w:r>
      <w:r>
        <w:rPr>
          <w:rFonts w:ascii="Times New Roman" w:hAnsi="Times New Roman" w:cs="Times New Roman"/>
          <w:sz w:val="27"/>
          <w:szCs w:val="27"/>
        </w:rPr>
        <w:t xml:space="preserve">Увеличение к 2030 году до 70,5 процентов доли населения Ивнянского района, систематически занимающих физической культурой </w:t>
      </w:r>
      <w:r>
        <w:rPr>
          <w:rFonts w:ascii="Times New Roman" w:hAnsi="Times New Roman" w:cs="Times New Roman"/>
          <w:sz w:val="27"/>
          <w:szCs w:val="27"/>
        </w:rPr>
        <w:br w:type="textWrapping" w:clear="all"/>
      </w:r>
      <w:r>
        <w:rPr>
          <w:rFonts w:ascii="Times New Roman" w:hAnsi="Times New Roman" w:cs="Times New Roman"/>
          <w:sz w:val="27"/>
          <w:szCs w:val="27"/>
        </w:rPr>
        <w:t xml:space="preserve">и спортом, в общей численности населения района в возрасте от 3 до 79 лет. </w:t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Перечень мероприятий по</w:t>
      </w:r>
      <w:r>
        <w:rPr>
          <w:rFonts w:ascii="Times New Roman" w:hAnsi="Times New Roman" w:cs="Times New Roman"/>
          <w:sz w:val="27"/>
          <w:szCs w:val="27"/>
        </w:rPr>
        <w:t xml:space="preserve">дпрограмм, а также сроки и этапы их реализации подлежат ежегодной корректировке, достигнутых результатов в предшествующий период реализации муниципальной программы.</w:t>
      </w:r>
    </w:p>
    <w:p>
      <w:pPr>
        <w:pStyle w:val="Heading1"/>
        <w:keepNext w:val="0"/>
        <w:pageBreakBefore/>
        <w:widowControl w:val="off"/>
        <w:numPr>
          <w:numId w:val="5"/>
          <w:ilvl w:val="1"/>
        </w:numPr>
        <w:ind w:left="0" w:right="50" w:firstLine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Сведения о взаимосвязи со стратегическими приоритетами, целями </w:t>
        <w:br w:type="textWrapping" w:clear="all"/>
        <w:t xml:space="preserve">и показателями государствен</w:t>
      </w:r>
      <w:r>
        <w:rPr>
          <w:b/>
          <w:sz w:val="27"/>
          <w:szCs w:val="27"/>
        </w:rPr>
        <w:t xml:space="preserve">ных программ Российской Федерации</w:t>
      </w:r>
    </w:p>
    <w:p>
      <w:pPr>
        <w:pStyle w:val="Normal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</w:r>
    </w:p>
    <w:p>
      <w:pPr>
        <w:pStyle w:val="Normal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Современное состояние физической культуры и спорта Белгородской области является результатом успешной реализации государственной политики </w:t>
        <w:br w:type="textWrapping" w:clear="all"/>
        <w:t xml:space="preserve">в соответствии с указами Президента Российской Федерации и национальными приоритет</w:t>
      </w:r>
      <w:r>
        <w:rPr>
          <w:rFonts w:ascii="Times New Roman" w:hAnsi="Times New Roman" w:cs="Times New Roman"/>
          <w:sz w:val="27"/>
          <w:szCs w:val="27"/>
        </w:rPr>
        <w:t xml:space="preserve">ами, Стратегией развития физической культуры и спорта в Российской Федерации на период до 2030 года, утвержденной распоряжением Правительства Российской Федерации от 24 ноября 2020 года № 3081-р.</w:t>
      </w:r>
    </w:p>
    <w:p>
      <w:pPr>
        <w:pStyle w:val="Normal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Ивнянский район вовлечен и активно участвует в реализации на</w:t>
      </w:r>
      <w:r>
        <w:rPr>
          <w:rFonts w:ascii="Times New Roman" w:hAnsi="Times New Roman" w:cs="Times New Roman"/>
          <w:sz w:val="27"/>
          <w:szCs w:val="27"/>
        </w:rPr>
        <w:t xml:space="preserve">циональных целей Российской Федерации «Сохранение населения, укрепление здоровья</w:t>
        <w:br w:type="textWrapping" w:clear="all"/>
        <w:t xml:space="preserve"> и повышение благополучия людей, поддержка семьи», «Реализация потенциала каждого человека, развитие его талантов, воспитание патриотичной и социально ответственной личности».</w:t>
      </w:r>
      <w:r>
        <w:rPr>
          <w:rFonts w:ascii="Times New Roman" w:hAnsi="Times New Roman" w:cs="Times New Roman"/>
          <w:sz w:val="27"/>
          <w:szCs w:val="27"/>
        </w:rPr>
      </w:r>
    </w:p>
    <w:p>
      <w:pPr>
        <w:pStyle w:val="Normal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Реализация муниципальной программы непосредственно направлена </w:t>
      </w:r>
      <w:r>
        <w:rPr>
          <w:rFonts w:ascii="Times New Roman" w:hAnsi="Times New Roman" w:cs="Times New Roman"/>
          <w:sz w:val="27"/>
          <w:szCs w:val="27"/>
        </w:rPr>
        <w:br w:type="textWrapping" w:clear="all"/>
      </w:r>
      <w:r>
        <w:rPr>
          <w:rFonts w:ascii="Times New Roman" w:hAnsi="Times New Roman" w:cs="Times New Roman"/>
          <w:sz w:val="27"/>
          <w:szCs w:val="27"/>
        </w:rPr>
        <w:t xml:space="preserve">на достижение национальной цели развития Российской Федерации на период </w:t>
      </w:r>
      <w:r>
        <w:rPr>
          <w:rFonts w:ascii="Times New Roman" w:hAnsi="Times New Roman" w:cs="Times New Roman"/>
          <w:sz w:val="27"/>
          <w:szCs w:val="27"/>
        </w:rPr>
        <w:br w:type="textWrapping" w:clear="all"/>
      </w:r>
      <w:r>
        <w:rPr>
          <w:rFonts w:ascii="Times New Roman" w:hAnsi="Times New Roman" w:cs="Times New Roman"/>
          <w:sz w:val="27"/>
          <w:szCs w:val="27"/>
        </w:rPr>
        <w:t xml:space="preserve">до 2030 года «Сохранение населения, укрепление здоровья и повышение благополучия людей, поддержка семьи», определенной </w:t>
      </w:r>
      <w:r>
        <w:rPr>
          <w:rFonts w:ascii="Times New Roman" w:hAnsi="Times New Roman" w:cs="Times New Roman"/>
          <w:sz w:val="27"/>
          <w:szCs w:val="27"/>
        </w:rPr>
        <w:t xml:space="preserve">Указом Президента Российско</w:t>
      </w:r>
      <w:r>
        <w:rPr>
          <w:rFonts w:ascii="Times New Roman" w:hAnsi="Times New Roman" w:cs="Times New Roman"/>
          <w:sz w:val="27"/>
          <w:szCs w:val="27"/>
        </w:rPr>
        <w:t xml:space="preserve">й Федерации от 07.05.2024 № 309</w:t>
      </w:r>
      <w:r>
        <w:rPr>
          <w:rFonts w:ascii="Times New Roman" w:hAnsi="Times New Roman" w:cs="Times New Roman"/>
          <w:sz w:val="27"/>
          <w:szCs w:val="27"/>
        </w:rPr>
        <w:t xml:space="preserve"> «О национальных целях развития Российской Фе</w:t>
      </w:r>
      <w:r>
        <w:rPr>
          <w:rFonts w:ascii="Times New Roman" w:hAnsi="Times New Roman" w:cs="Times New Roman"/>
          <w:sz w:val="27"/>
          <w:szCs w:val="27"/>
        </w:rPr>
        <w:t xml:space="preserve">дерации на период до 2030 года </w:t>
      </w:r>
      <w:r>
        <w:rPr>
          <w:rFonts w:ascii="Times New Roman" w:hAnsi="Times New Roman" w:cs="Times New Roman"/>
          <w:sz w:val="27"/>
          <w:szCs w:val="27"/>
        </w:rPr>
        <w:t xml:space="preserve">и на перспективу до 2036 года». Предусматривается увеличение к 2030 году до 39 процентов доли граждан, систематически зани</w:t>
      </w:r>
      <w:r>
        <w:rPr>
          <w:rFonts w:ascii="Times New Roman" w:hAnsi="Times New Roman" w:cs="Times New Roman"/>
          <w:sz w:val="27"/>
          <w:szCs w:val="27"/>
        </w:rPr>
        <w:t xml:space="preserve">мающихся физической культурой и спортом, реализацию </w:t>
      </w:r>
      <w:r>
        <w:rPr>
          <w:rFonts w:ascii="Times New Roman" w:hAnsi="Times New Roman" w:cs="Times New Roman"/>
          <w:sz w:val="27"/>
          <w:szCs w:val="27"/>
        </w:rPr>
        <w:br w:type="textWrapping" w:clear="all"/>
      </w:r>
      <w:r>
        <w:rPr>
          <w:rFonts w:ascii="Times New Roman" w:hAnsi="Times New Roman" w:cs="Times New Roman"/>
          <w:sz w:val="27"/>
          <w:szCs w:val="27"/>
        </w:rPr>
        <w:t xml:space="preserve">на территории Ивнянского</w:t>
      </w:r>
      <w:r>
        <w:rPr>
          <w:rFonts w:ascii="Times New Roman" w:hAnsi="Times New Roman" w:cs="Times New Roman"/>
          <w:sz w:val="27"/>
          <w:szCs w:val="27"/>
        </w:rPr>
        <w:t xml:space="preserve"> района муниципальной программы.</w:t>
      </w:r>
      <w:r>
        <w:rPr>
          <w:rFonts w:ascii="Times New Roman" w:hAnsi="Times New Roman" w:cs="Times New Roman"/>
          <w:sz w:val="27"/>
          <w:szCs w:val="27"/>
        </w:rPr>
      </w:r>
    </w:p>
    <w:p>
      <w:pPr>
        <w:pStyle w:val="Normal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Муниципальная программа соответствует стратегии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социально-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экономического развития Белгородской области на период до 2030 года, где одним из трех </w:t>
      </w:r>
      <w:r>
        <w:rPr>
          <w:rFonts w:ascii="Times New Roman" w:hAnsi="Times New Roman" w:cs="Times New Roman"/>
          <w:sz w:val="27"/>
          <w:szCs w:val="27"/>
        </w:rPr>
        <w:t xml:space="preserve">ключевых стратегических приоритетов долгосрочного развития обозначает «развитие человеческого капитала, качества среды», составным элементом которого является развитие физической культуры и спорта Белгородской области в части вовлечения граждан в массовый </w:t>
      </w:r>
      <w:r>
        <w:rPr>
          <w:rFonts w:ascii="Times New Roman" w:hAnsi="Times New Roman" w:cs="Times New Roman"/>
          <w:sz w:val="27"/>
          <w:szCs w:val="27"/>
        </w:rPr>
        <w:t xml:space="preserve">спорт, продвижения здорового образа жизни, развития спортивного резерва и укрепления традиций спорта высших достижений.</w:t>
      </w:r>
    </w:p>
    <w:p>
      <w:pPr>
        <w:pStyle w:val="Heading1"/>
        <w:keepNext w:val="0"/>
        <w:pageBreakBefore/>
        <w:widowControl w:val="off"/>
        <w:numPr>
          <w:numId w:val="5"/>
          <w:ilvl w:val="1"/>
        </w:numPr>
        <w:ind w:left="0" w:right="50" w:firstLine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Задачи муниципального управления, способы их эффективного решения </w:t>
      </w:r>
      <w:r>
        <w:rPr>
          <w:b/>
          <w:sz w:val="27"/>
          <w:szCs w:val="27"/>
        </w:rPr>
        <w:br w:type="textWrapping" w:clear="all"/>
      </w:r>
      <w:r>
        <w:rPr>
          <w:b/>
          <w:sz w:val="27"/>
          <w:szCs w:val="27"/>
        </w:rPr>
        <w:t xml:space="preserve">в сфере реализации муниципальной программы</w:t>
      </w:r>
    </w:p>
    <w:p>
      <w:pPr>
        <w:pStyle w:val="Normal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Мероприятия муниципальной</w:t>
      </w:r>
      <w:r>
        <w:rPr>
          <w:rFonts w:ascii="Times New Roman" w:hAnsi="Times New Roman" w:cs="Times New Roman"/>
          <w:sz w:val="27"/>
          <w:szCs w:val="27"/>
        </w:rPr>
        <w:t xml:space="preserve"> программы направлены на решение основных задач, установленных в структурных элементах.</w:t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По муниципальной программе «Развитие физической культуры и спорта </w:t>
        <w:br w:type="textWrapping" w:clear="all"/>
        <w:t xml:space="preserve">на территории Ивнянского рай» определены ключевые задачи:</w:t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Задача</w:t>
      </w:r>
      <w:r>
        <w:rPr>
          <w:rFonts w:ascii="Times New Roman" w:hAnsi="Times New Roman" w:cs="Times New Roman"/>
          <w:sz w:val="27"/>
          <w:szCs w:val="27"/>
        </w:rPr>
        <w:t xml:space="preserve"> </w:t>
      </w:r>
      <w:r>
        <w:rPr>
          <w:rFonts w:ascii="Times New Roman" w:hAnsi="Times New Roman" w:cs="Times New Roman"/>
          <w:sz w:val="27"/>
          <w:szCs w:val="27"/>
        </w:rPr>
        <w:t xml:space="preserve">1. «Создание условий для развития ма</w:t>
      </w:r>
      <w:r>
        <w:rPr>
          <w:rFonts w:ascii="Times New Roman" w:hAnsi="Times New Roman" w:cs="Times New Roman"/>
          <w:sz w:val="27"/>
          <w:szCs w:val="27"/>
        </w:rPr>
        <w:t xml:space="preserve">ссовой физической культуры </w:t>
        <w:br w:type="textWrapping" w:clear="all"/>
        <w:t xml:space="preserve">и массового спорта среди различных категорий населения района.»;</w:t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Задача</w:t>
      </w:r>
      <w:r>
        <w:rPr>
          <w:rFonts w:ascii="Times New Roman" w:hAnsi="Times New Roman" w:cs="Times New Roman"/>
          <w:sz w:val="27"/>
          <w:szCs w:val="27"/>
        </w:rPr>
        <w:t xml:space="preserve"> </w:t>
      </w:r>
      <w:r>
        <w:rPr>
          <w:rFonts w:ascii="Times New Roman" w:hAnsi="Times New Roman" w:cs="Times New Roman"/>
          <w:sz w:val="27"/>
          <w:szCs w:val="27"/>
        </w:rPr>
        <w:t xml:space="preserve">2.</w:t>
      </w:r>
      <w:r>
        <w:rPr>
          <w:rFonts w:ascii="Times New Roman" w:hAnsi="Times New Roman" w:cs="Times New Roman"/>
          <w:sz w:val="27"/>
          <w:szCs w:val="27"/>
        </w:rPr>
        <w:t xml:space="preserve"> </w:t>
      </w:r>
      <w:r>
        <w:rPr>
          <w:rFonts w:ascii="Times New Roman" w:hAnsi="Times New Roman" w:cs="Times New Roman"/>
          <w:sz w:val="27"/>
          <w:szCs w:val="27"/>
        </w:rPr>
        <w:t xml:space="preserve">«Исполнение муниципальных функций Физкультурно-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оздоровительного комплекса в соответствии с действующим законодательством»;</w:t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Задача</w:t>
      </w:r>
      <w:r>
        <w:rPr>
          <w:rFonts w:ascii="Times New Roman" w:hAnsi="Times New Roman" w:cs="Times New Roman"/>
          <w:sz w:val="27"/>
          <w:szCs w:val="27"/>
        </w:rPr>
        <w:t xml:space="preserve"> </w:t>
      </w:r>
      <w:r>
        <w:rPr>
          <w:rFonts w:ascii="Times New Roman" w:hAnsi="Times New Roman" w:cs="Times New Roman"/>
          <w:sz w:val="27"/>
          <w:szCs w:val="27"/>
        </w:rPr>
        <w:t xml:space="preserve">3. «Исполнение муницип</w:t>
      </w:r>
      <w:r>
        <w:rPr>
          <w:rFonts w:ascii="Times New Roman" w:hAnsi="Times New Roman" w:cs="Times New Roman"/>
          <w:sz w:val="27"/>
          <w:szCs w:val="27"/>
        </w:rPr>
        <w:t xml:space="preserve">альных функций плавательного бассейна </w:t>
      </w:r>
      <w:r>
        <w:rPr>
          <w:rFonts w:ascii="Times New Roman" w:hAnsi="Times New Roman" w:cs="Times New Roman"/>
          <w:sz w:val="27"/>
          <w:szCs w:val="27"/>
        </w:rPr>
        <w:br w:type="textWrapping" w:clear="all"/>
      </w:r>
      <w:r>
        <w:rPr>
          <w:rFonts w:ascii="Times New Roman" w:hAnsi="Times New Roman" w:cs="Times New Roman"/>
          <w:sz w:val="27"/>
          <w:szCs w:val="27"/>
        </w:rPr>
        <w:t xml:space="preserve">в соответствии с действующим законодательством»;</w:t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Задача</w:t>
      </w:r>
      <w:r>
        <w:rPr>
          <w:rFonts w:ascii="Times New Roman" w:hAnsi="Times New Roman" w:cs="Times New Roman"/>
          <w:sz w:val="27"/>
          <w:szCs w:val="27"/>
        </w:rPr>
        <w:t xml:space="preserve"> </w:t>
      </w:r>
      <w:r>
        <w:rPr>
          <w:rFonts w:ascii="Times New Roman" w:hAnsi="Times New Roman" w:cs="Times New Roman"/>
          <w:sz w:val="27"/>
          <w:szCs w:val="27"/>
        </w:rPr>
        <w:t xml:space="preserve">4. «Исполнение муниципальных функций Дома спорта с. Новенькое </w:t>
      </w:r>
      <w:r>
        <w:rPr>
          <w:rFonts w:ascii="Times New Roman" w:hAnsi="Times New Roman" w:cs="Times New Roman"/>
          <w:sz w:val="27"/>
          <w:szCs w:val="27"/>
        </w:rPr>
        <w:br w:type="textWrapping" w:clear="all"/>
      </w:r>
      <w:r>
        <w:rPr>
          <w:rFonts w:ascii="Times New Roman" w:hAnsi="Times New Roman" w:cs="Times New Roman"/>
          <w:sz w:val="27"/>
          <w:szCs w:val="27"/>
        </w:rPr>
        <w:t xml:space="preserve">в соответствии с действующим законодательством». </w:t>
      </w:r>
    </w:p>
    <w:p>
      <w:pPr>
        <w:pStyle w:val="Normal"/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Для решения данных задач определены следующие ме</w:t>
      </w:r>
      <w:r>
        <w:rPr>
          <w:rFonts w:ascii="Times New Roman" w:hAnsi="Times New Roman" w:cs="Times New Roman"/>
          <w:sz w:val="27"/>
          <w:szCs w:val="27"/>
        </w:rPr>
        <w:t xml:space="preserve">ханизмы воздействия:</w:t>
      </w:r>
    </w:p>
    <w:p>
      <w:pPr>
        <w:pStyle w:val="179"/>
        <w:numPr>
          <w:numId w:val="8"/>
          <w:ilvl w:val="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создание для всех категорий и групп населения услови</w:t>
      </w:r>
      <w:r>
        <w:rPr>
          <w:rFonts w:ascii="Times New Roman" w:hAnsi="Times New Roman" w:cs="Times New Roman"/>
          <w:sz w:val="27"/>
          <w:szCs w:val="27"/>
        </w:rPr>
        <w:t xml:space="preserve">й</w:t>
      </w:r>
      <w:r>
        <w:rPr>
          <w:rFonts w:ascii="Times New Roman" w:hAnsi="Times New Roman" w:cs="Times New Roman"/>
          <w:sz w:val="27"/>
          <w:szCs w:val="27"/>
        </w:rPr>
        <w:t xml:space="preserve"> для занятий физической культурой и спортом (новая модель спорта);</w:t>
      </w:r>
    </w:p>
    <w:p>
      <w:pPr>
        <w:pStyle w:val="179"/>
        <w:numPr>
          <w:numId w:val="8"/>
          <w:ilvl w:val="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создание условий для привлечения к систематическим занятиям физической культурой и спортом не менее 73 процентов гр</w:t>
      </w:r>
      <w:r>
        <w:rPr>
          <w:rFonts w:ascii="Times New Roman" w:hAnsi="Times New Roman" w:cs="Times New Roman"/>
          <w:sz w:val="27"/>
          <w:szCs w:val="27"/>
        </w:rPr>
        <w:t xml:space="preserve">аждан трудоспособного возраста;</w:t>
      </w:r>
    </w:p>
    <w:p>
      <w:pPr>
        <w:pStyle w:val="179"/>
        <w:numPr>
          <w:numId w:val="8"/>
          <w:ilvl w:val="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организация событийных спортивных мероприятий на территории Ивнянского района;</w:t>
      </w:r>
    </w:p>
    <w:p>
      <w:pPr>
        <w:pStyle w:val="179"/>
        <w:numPr>
          <w:numId w:val="8"/>
          <w:ilvl w:val="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создание спортивной инфраструктуры и материально-технической базы для занятий физической культурой и спортом</w:t>
      </w:r>
      <w:r>
        <w:rPr>
          <w:rFonts w:ascii="Times New Roman" w:hAnsi="Times New Roman" w:cs="Times New Roman"/>
          <w:sz w:val="27"/>
          <w:szCs w:val="27"/>
        </w:rPr>
        <w:t xml:space="preserve">;</w:t>
      </w:r>
      <w:r>
        <w:rPr>
          <w:rFonts w:ascii="Times New Roman" w:hAnsi="Times New Roman" w:cs="Times New Roman"/>
          <w:sz w:val="27"/>
          <w:szCs w:val="27"/>
        </w:rPr>
      </w:r>
    </w:p>
    <w:p>
      <w:pPr>
        <w:pStyle w:val="179"/>
        <w:numPr>
          <w:numId w:val="8"/>
          <w:ilvl w:val="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развитие инфраструктуры физической </w:t>
      </w:r>
      <w:r>
        <w:rPr>
          <w:rFonts w:ascii="Times New Roman" w:hAnsi="Times New Roman" w:cs="Times New Roman"/>
          <w:sz w:val="27"/>
          <w:szCs w:val="27"/>
        </w:rPr>
        <w:t xml:space="preserve">культуры и спорта, строительство спортивных объектов шаговой доступности и обеспечение доступности этих объектов для лиц с ограниченными возможностями здоровья </w:t>
      </w:r>
      <w:r>
        <w:rPr>
          <w:rFonts w:ascii="Times New Roman" w:hAnsi="Times New Roman" w:cs="Times New Roman"/>
          <w:sz w:val="27"/>
          <w:szCs w:val="27"/>
        </w:rPr>
        <w:br w:type="textWrapping" w:clear="all"/>
      </w:r>
      <w:r>
        <w:rPr>
          <w:rFonts w:ascii="Times New Roman" w:hAnsi="Times New Roman" w:cs="Times New Roman"/>
          <w:sz w:val="27"/>
          <w:szCs w:val="27"/>
        </w:rPr>
        <w:t xml:space="preserve">и инвалидов;</w:t>
      </w:r>
    </w:p>
    <w:p>
      <w:pPr>
        <w:pStyle w:val="179"/>
        <w:numPr>
          <w:numId w:val="8"/>
          <w:ilvl w:val="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развитие материально-технической базы спорта высших достижений </w:t>
      </w:r>
      <w:r>
        <w:rPr>
          <w:rFonts w:ascii="Times New Roman" w:hAnsi="Times New Roman" w:cs="Times New Roman"/>
          <w:sz w:val="27"/>
          <w:szCs w:val="27"/>
        </w:rPr>
        <w:br w:type="textWrapping" w:clear="all"/>
      </w:r>
      <w:r>
        <w:rPr>
          <w:rFonts w:ascii="Times New Roman" w:hAnsi="Times New Roman" w:cs="Times New Roman"/>
          <w:sz w:val="27"/>
          <w:szCs w:val="27"/>
        </w:rPr>
        <w:t xml:space="preserve">для подготовки спо</w:t>
      </w:r>
      <w:r>
        <w:rPr>
          <w:rFonts w:ascii="Times New Roman" w:hAnsi="Times New Roman" w:cs="Times New Roman"/>
          <w:sz w:val="27"/>
          <w:szCs w:val="27"/>
        </w:rPr>
        <w:t xml:space="preserve">ртсменов, в том числе по наиболее массовым видам спорта, </w:t>
      </w:r>
      <w:r>
        <w:rPr>
          <w:rFonts w:ascii="Times New Roman" w:hAnsi="Times New Roman" w:cs="Times New Roman"/>
          <w:sz w:val="27"/>
          <w:szCs w:val="27"/>
        </w:rPr>
        <w:br w:type="textWrapping" w:clear="all"/>
      </w:r>
      <w:r>
        <w:rPr>
          <w:rFonts w:ascii="Times New Roman" w:hAnsi="Times New Roman" w:cs="Times New Roman"/>
          <w:sz w:val="27"/>
          <w:szCs w:val="27"/>
        </w:rPr>
        <w:t xml:space="preserve">не включенным в программы Олимпийских и Паралимпийских игр;</w:t>
      </w:r>
    </w:p>
    <w:p>
      <w:pPr>
        <w:pStyle w:val="179"/>
        <w:numPr>
          <w:numId w:val="8"/>
          <w:ilvl w:val="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создание условий для подготовки и совершенствования спортсменов </w:t>
        <w:br w:type="textWrapping" w:clear="all"/>
        <w:t xml:space="preserve">и тренеров с учетом непрерывности процессов обучения и спортивной подгото</w:t>
      </w:r>
      <w:r>
        <w:rPr>
          <w:rFonts w:ascii="Times New Roman" w:hAnsi="Times New Roman" w:cs="Times New Roman"/>
          <w:sz w:val="27"/>
          <w:szCs w:val="27"/>
        </w:rPr>
        <w:t xml:space="preserve">вки;</w:t>
      </w:r>
    </w:p>
    <w:p>
      <w:pPr>
        <w:pStyle w:val="179"/>
        <w:numPr>
          <w:numId w:val="8"/>
          <w:ilvl w:val="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реализация основных направлений государственной политики Белгородской области в целях создания благоприятных условий для устойчивого развития в сфере физической культуры и спорта;</w:t>
      </w:r>
    </w:p>
    <w:p>
      <w:pPr>
        <w:pStyle w:val="179"/>
        <w:numPr>
          <w:numId w:val="8"/>
          <w:ilvl w:val="0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расширение участия общественных и некоммерческих организаций </w:t>
        <w:br w:type="textWrapping" w:clear="all"/>
        <w:t xml:space="preserve">в доброво</w:t>
      </w:r>
      <w:r>
        <w:rPr>
          <w:rFonts w:ascii="Times New Roman" w:hAnsi="Times New Roman" w:cs="Times New Roman"/>
          <w:sz w:val="27"/>
          <w:szCs w:val="27"/>
        </w:rPr>
        <w:t xml:space="preserve">льческой деятельности. </w:t>
      </w:r>
    </w:p>
    <w:p>
      <w:pPr>
        <w:pStyle w:val="BodyText"/>
        <w:ind w:left="0" w:right="3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ectPr>
          <w:headerReference w:type="default" r:id="rId7"/>
          <w:type w:val="nextPage"/>
          <w:pgSz w:w="11906" w:h="16838"/>
          <w:pgMar w:top="1134" w:right="567" w:bottom="1134" w:left="1701" w:header="709" w:footer="720" w:gutter="0"/>
          <w:pgNumType w:start="1"/>
          <w:cols w:space="720"/>
          <w:docGrid w:linePitch="360"/>
          <w:titlePg/>
        </w:sectPr>
      </w:pPr>
    </w:p>
    <w:p>
      <w:pPr>
        <w:pStyle w:val="Normal"/>
        <w:widowControl w:val="off"/>
        <w:spacing w:after="0" w:line="240" w:lineRule="auto"/>
        <w:ind w:left="10773"/>
        <w:jc w:val="center"/>
        <w:rPr>
          <w:rFonts w:ascii="Times New Roman" w:hAnsi="Times New Roman" w:eastAsia="Times New Roman" w:cs="Times New Roman"/>
          <w:b/>
          <w:color w:val="000000"/>
          <w:sz w:val="27"/>
          <w:szCs w:val="27"/>
        </w:rPr>
      </w:pPr>
      <w:r>
        <w:rPr>
          <w:rFonts w:ascii="Times New Roman" w:hAnsi="Times New Roman" w:eastAsia="Times New Roman" w:cs="Times New Roman"/>
          <w:b/>
          <w:color w:val="000000"/>
          <w:sz w:val="27"/>
          <w:szCs w:val="27"/>
        </w:rPr>
        <w:t xml:space="preserve">УТВЕРЖДЕН</w:t>
      </w:r>
    </w:p>
    <w:p>
      <w:pPr>
        <w:pStyle w:val="Normal"/>
        <w:widowControl w:val="off"/>
        <w:spacing w:after="0" w:line="240" w:lineRule="auto"/>
        <w:ind w:left="10773"/>
        <w:jc w:val="center"/>
        <w:rPr>
          <w:rFonts w:ascii="Times New Roman" w:hAnsi="Times New Roman" w:eastAsia="Times New Roman" w:cs="Times New Roman"/>
          <w:b/>
          <w:color w:val="000000"/>
          <w:sz w:val="27"/>
          <w:szCs w:val="27"/>
        </w:rPr>
      </w:pPr>
      <w:r>
        <w:rPr>
          <w:rFonts w:ascii="Times New Roman" w:hAnsi="Times New Roman" w:eastAsia="Times New Roman" w:cs="Times New Roman"/>
          <w:b/>
          <w:color w:val="000000"/>
          <w:sz w:val="27"/>
          <w:szCs w:val="27"/>
        </w:rPr>
        <w:t xml:space="preserve">постановлением администрации Ивнянского района</w:t>
      </w:r>
    </w:p>
    <w:p>
      <w:pPr>
        <w:pStyle w:val="Normal"/>
        <w:widowControl w:val="off"/>
        <w:spacing w:after="0" w:line="240" w:lineRule="auto"/>
        <w:ind w:left="10773"/>
        <w:jc w:val="center"/>
        <w:rPr>
          <w:rFonts w:ascii="Times New Roman" w:hAnsi="Times New Roman" w:eastAsia="Times New Roman" w:cs="Times New Roman"/>
          <w:b/>
          <w:color w:val="000000"/>
          <w:sz w:val="27"/>
          <w:szCs w:val="27"/>
        </w:rPr>
      </w:pPr>
      <w:r>
        <w:rPr>
          <w:rFonts w:ascii="Times New Roman" w:hAnsi="Times New Roman" w:eastAsia="Times New Roman" w:cs="Times New Roman"/>
          <w:b/>
          <w:color w:val="000000"/>
          <w:sz w:val="27"/>
          <w:szCs w:val="27"/>
        </w:rPr>
        <w:t xml:space="preserve">«___ »__________  2024 г. № ____</w:t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П А С П О Р Т</w:t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м</w:t>
      </w:r>
      <w:r>
        <w:rPr>
          <w:rFonts w:ascii="Times New Roman" w:hAnsi="Times New Roman" w:cs="Times New Roman"/>
          <w:b/>
          <w:sz w:val="27"/>
          <w:szCs w:val="27"/>
        </w:rPr>
        <w:t xml:space="preserve">униципальной программы </w:t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«</w:t>
      </w:r>
      <w:r>
        <w:rPr>
          <w:rFonts w:ascii="Times New Roman" w:hAnsi="Times New Roman" w:cs="Times New Roman"/>
          <w:b/>
          <w:sz w:val="27"/>
          <w:szCs w:val="27"/>
        </w:rPr>
        <w:t xml:space="preserve">Развитие физической культуры и спорта на территории Ивнянского района</w:t>
      </w:r>
      <w:r>
        <w:rPr>
          <w:rFonts w:ascii="Times New Roman" w:hAnsi="Times New Roman" w:cs="Times New Roman"/>
          <w:b/>
          <w:sz w:val="27"/>
          <w:szCs w:val="27"/>
        </w:rPr>
        <w:t xml:space="preserve">» </w:t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20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1. Основные положения</w:t>
      </w:r>
      <w:r>
        <w:rPr>
          <w:rFonts w:ascii="Times New Roman" w:hAnsi="Times New Roman" w:cs="Times New Roman"/>
          <w:b/>
          <w:sz w:val="18"/>
          <w:szCs w:val="20"/>
        </w:rPr>
      </w:r>
    </w:p>
    <w:p>
      <w:pPr>
        <w:pStyle w:val="Normal"/>
        <w:spacing w:after="0" w:line="240" w:lineRule="auto"/>
        <w:rPr>
          <w:rFonts w:ascii="Times New Roman" w:hAnsi="Times New Roman" w:cs="Times New Roman"/>
          <w:b/>
          <w:sz w:val="18"/>
          <w:szCs w:val="20"/>
        </w:rPr>
      </w:pPr>
      <w:r>
        <w:rPr>
          <w:rFonts w:ascii="Times New Roman" w:hAnsi="Times New Roman" w:cs="Times New Roman"/>
          <w:b/>
          <w:sz w:val="18"/>
          <w:szCs w:val="20"/>
        </w:rPr>
      </w:r>
    </w:p>
    <w:tbl>
      <w:tblPr>
        <w:tblW w:w="16522" w:type="dxa"/>
        <w:tblInd w:w="-34" w:type="dxa"/>
        <w:tblLayout w:type="fixed"/>
        <w:tblCellMar>
          <w:left w:w="0" w:type="dxa"/>
          <w:top w:w="0" w:type="dxa"/>
          <w:right w:w="0" w:type="dxa"/>
          <w:bottom w:w="0" w:type="dxa"/>
        </w:tblCellMar>
      </w:tblPr>
      <w:tblGrid>
        <w:gridCol w:w="3403"/>
        <w:gridCol w:w="6922"/>
        <w:gridCol w:w="5065"/>
        <w:gridCol w:w="1132"/>
      </w:tblGrid>
      <w:tr>
        <w:trPr>
          <w:trHeight w:val="228"/>
        </w:trPr>
        <w:tc>
          <w:tcPr>
            <w:tcW w:w="3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Кур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атор муниципальной)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</w:t>
            </w:r>
          </w:p>
        </w:tc>
        <w:tc>
          <w:tcPr>
            <w:tcW w:w="119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Абраменко Татьяна Викторовна, заместитель главы администрации муниципального района «Ивнянский район» по социально-культурному развитию</w:t>
            </w:r>
          </w:p>
        </w:tc>
        <w:tc>
          <w:tcPr>
            <w:tcW w:w="1132" w:type="dxa"/>
            <w:textDirection w:val="lrTb"/>
            <w:vAlign w:val="top"/>
          </w:tcPr>
          <w:p>
            <w:pPr>
              <w:pStyle w:val="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423"/>
        </w:trPr>
        <w:tc>
          <w:tcPr>
            <w:tcW w:w="3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исполнитель муниципальной программы</w:t>
            </w:r>
          </w:p>
        </w:tc>
        <w:tc>
          <w:tcPr>
            <w:tcW w:w="119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Дудко Юлия Юрьевна (МБУ «Центр физичес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кой культуры и спорта администрации муниципального района «Ивнянский район» Белгородской области»)</w:t>
            </w:r>
          </w:p>
        </w:tc>
        <w:tc>
          <w:tcPr>
            <w:tcW w:w="1132" w:type="dxa"/>
            <w:textDirection w:val="lrTb"/>
            <w:vAlign w:val="top"/>
          </w:tcPr>
          <w:p>
            <w:pPr>
              <w:pStyle w:val="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92"/>
        </w:trPr>
        <w:tc>
          <w:tcPr>
            <w:tcW w:w="3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Период реализации муниципальной программы</w:t>
            </w:r>
          </w:p>
        </w:tc>
        <w:tc>
          <w:tcPr>
            <w:tcW w:w="119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муниципальной программы осуществляется в один этап – 2025 – 2030 годы</w:t>
            </w:r>
          </w:p>
        </w:tc>
        <w:tc>
          <w:tcPr>
            <w:tcW w:w="1132" w:type="dxa"/>
            <w:textDirection w:val="lrTb"/>
            <w:vAlign w:val="top"/>
          </w:tcPr>
          <w:p>
            <w:pPr>
              <w:pStyle w:val="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278"/>
        </w:trPr>
        <w:tc>
          <w:tcPr>
            <w:tcW w:w="340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Цели муниципальной программы </w:t>
            </w:r>
          </w:p>
        </w:tc>
        <w:tc>
          <w:tcPr>
            <w:tcW w:w="119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Цель 1: Создание условий для развития массовой физической культуры и массового спорта среди различных категорий населения района.</w:t>
            </w:r>
          </w:p>
        </w:tc>
        <w:tc>
          <w:tcPr>
            <w:tcW w:w="1132" w:type="dxa"/>
            <w:textDirection w:val="lrTb"/>
            <w:vAlign w:val="top"/>
          </w:tcPr>
          <w:p>
            <w:pPr>
              <w:pStyle w:val="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509"/>
        </w:trPr>
        <w:tc>
          <w:tcPr>
            <w:tcW w:w="3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Направления (подпрограммы) муниципальной программы</w:t>
            </w:r>
          </w:p>
        </w:tc>
        <w:tc>
          <w:tcPr>
            <w:tcW w:w="119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Направления (подпрограммы) не выделяются</w:t>
            </w:r>
          </w:p>
        </w:tc>
        <w:tc>
          <w:tcPr>
            <w:tcW w:w="1132" w:type="dxa"/>
            <w:textDirection w:val="lrTb"/>
            <w:vAlign w:val="top"/>
          </w:tcPr>
          <w:p>
            <w:pPr>
              <w:pStyle w:val="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72"/>
        </w:trPr>
        <w:tc>
          <w:tcPr>
            <w:tcW w:w="3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Объемы финансового обеспечения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весь период реализации</w:t>
            </w:r>
          </w:p>
        </w:tc>
        <w:tc>
          <w:tcPr>
            <w:tcW w:w="6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Источник финансового обеспечения</w:t>
            </w:r>
          </w:p>
        </w:tc>
        <w:tc>
          <w:tcPr>
            <w:tcW w:w="5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финансового обеспечения, тыс. рублей</w:t>
            </w:r>
          </w:p>
        </w:tc>
        <w:tc>
          <w:tcPr>
            <w:tcW w:w="1132" w:type="dxa"/>
            <w:textDirection w:val="lrTb"/>
            <w:vAlign w:val="top"/>
          </w:tcPr>
          <w:p>
            <w:pPr>
              <w:pStyle w:val="Normal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74"/>
        </w:trPr>
        <w:tc>
          <w:tcPr>
            <w:tcW w:w="3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6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по Муниципальной программы Ивнянского района, в том числе:</w:t>
            </w:r>
          </w:p>
        </w:tc>
        <w:tc>
          <w:tcPr>
            <w:tcW w:w="5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195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259,8</w:t>
            </w:r>
          </w:p>
        </w:tc>
        <w:tc>
          <w:tcPr>
            <w:tcW w:w="1132" w:type="dxa"/>
            <w:textDirection w:val="lrTb"/>
            <w:vAlign w:val="top"/>
          </w:tcPr>
          <w:p>
            <w:pPr>
              <w:pStyle w:val="Normal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</w:tr>
      <w:tr>
        <w:trPr>
          <w:trHeight w:val="106"/>
        </w:trPr>
        <w:tc>
          <w:tcPr>
            <w:tcW w:w="3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6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bookmarkStart w:id="1" w:name="_Hlk18177308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межбюджетные трансферты из федерального бюджета </w:t>
            </w:r>
            <w:bookmarkEnd w:id="1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(справочно)</w:t>
            </w:r>
          </w:p>
        </w:tc>
        <w:tc>
          <w:tcPr>
            <w:tcW w:w="5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,0</w:t>
            </w:r>
          </w:p>
        </w:tc>
        <w:tc>
          <w:tcPr>
            <w:tcW w:w="1132" w:type="dxa"/>
            <w:textDirection w:val="lrTb"/>
            <w:vAlign w:val="top"/>
          </w:tcPr>
          <w:p>
            <w:pPr>
              <w:pStyle w:val="Normal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</w:tr>
      <w:tr>
        <w:trPr>
          <w:trHeight w:val="58"/>
        </w:trPr>
        <w:tc>
          <w:tcPr>
            <w:tcW w:w="3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6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ежбюджетные трансферты из областного бюджета (справочно)</w:t>
            </w:r>
          </w:p>
        </w:tc>
        <w:tc>
          <w:tcPr>
            <w:tcW w:w="5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853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,2</w:t>
            </w:r>
          </w:p>
        </w:tc>
        <w:tc>
          <w:tcPr>
            <w:tcW w:w="1132" w:type="dxa"/>
            <w:textDirection w:val="lrTb"/>
            <w:vAlign w:val="top"/>
          </w:tcPr>
          <w:p>
            <w:pPr>
              <w:pStyle w:val="Normal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</w:tr>
      <w:tr>
        <w:trPr>
          <w:trHeight w:val="58"/>
        </w:trPr>
        <w:tc>
          <w:tcPr>
            <w:tcW w:w="3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6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местный бюджет</w:t>
            </w:r>
          </w:p>
        </w:tc>
        <w:tc>
          <w:tcPr>
            <w:tcW w:w="5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160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676,6</w:t>
            </w:r>
          </w:p>
        </w:tc>
        <w:tc>
          <w:tcPr>
            <w:tcW w:w="1132" w:type="dxa"/>
            <w:textDirection w:val="lrTb"/>
            <w:vAlign w:val="top"/>
          </w:tcPr>
          <w:p>
            <w:pPr>
              <w:pStyle w:val="Normal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</w:tr>
      <w:tr>
        <w:trPr>
          <w:trHeight w:val="58"/>
        </w:trPr>
        <w:tc>
          <w:tcPr>
            <w:tcW w:w="3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6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внебюджетные источники</w:t>
            </w:r>
          </w:p>
        </w:tc>
        <w:tc>
          <w:tcPr>
            <w:tcW w:w="5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,0</w:t>
            </w:r>
          </w:p>
        </w:tc>
        <w:tc>
          <w:tcPr>
            <w:tcW w:w="1132" w:type="dxa"/>
            <w:textDirection w:val="lrTb"/>
            <w:vAlign w:val="top"/>
          </w:tcPr>
          <w:p>
            <w:pPr>
              <w:pStyle w:val="Normal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</w:tc>
      </w:tr>
      <w:tr>
        <w:trPr>
          <w:trHeight w:val="77"/>
        </w:trPr>
        <w:tc>
          <w:tcPr>
            <w:tcW w:w="3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Связь с национальными целями развития Российской Федерации/ государственной программой Белгородской области</w:t>
            </w:r>
          </w:p>
        </w:tc>
        <w:tc>
          <w:tcPr>
            <w:tcW w:w="119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Национальная цель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«Сохранение населения, укрепление здоровья и повышение благополучия людей, поддержка семьи»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«Реализация потенциала каждого человека, развитие его талантов, воспитание патриотичной и социально ответственной личности».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1 «Повышение ожидаемой госу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дарственными программами Российской Федерации продолжительности жизни до 78 лет и до 81 года к 2036 году» </w:t>
            </w:r>
          </w:p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2 «Повышения к 2030 году уровня удовлетворённости граждан условиями для занятий физической культурой и спортом»</w:t>
            </w:r>
          </w:p>
        </w:tc>
        <w:tc>
          <w:tcPr>
            <w:tcW w:w="1132" w:type="dxa"/>
            <w:textDirection w:val="lrTb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77"/>
        </w:trPr>
        <w:tc>
          <w:tcPr>
            <w:tcW w:w="3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Связь с целью развития 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елгородской области/стратегическими приоритетами Белгородской области</w:t>
            </w:r>
          </w:p>
        </w:tc>
        <w:tc>
          <w:tcPr>
            <w:tcW w:w="119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«Создание современной доступной инфраструктуры, открытой сервисной и спортивно-событийной политики для вовлечения в занятия физической культурой и спортом всех жителей Белгородской облас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ти».</w:t>
            </w:r>
          </w:p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Приоритет «Развитие человеческого капитала, качества среды»</w:t>
            </w:r>
          </w:p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«Увеличение доли граждан, систематически занимающихся физической культурой и спортом»</w:t>
            </w:r>
          </w:p>
        </w:tc>
        <w:tc>
          <w:tcPr>
            <w:tcW w:w="1132" w:type="dxa"/>
            <w:textDirection w:val="lrTb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77"/>
        </w:trPr>
        <w:tc>
          <w:tcPr>
            <w:tcW w:w="3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Связь с целями развития Ивнянского района / стратегическими направлениями Ивнянского района</w:t>
            </w:r>
          </w:p>
        </w:tc>
        <w:tc>
          <w:tcPr>
            <w:tcW w:w="119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Первое стратегическое направление «Развитие человеческого капитала муниципального района «Ивнянский район»,</w:t>
            </w:r>
          </w:p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«Улучшение демографической ситуации и укрепление здоровья населения».</w:t>
            </w:r>
          </w:p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Индикатор: «Доля населения, регулярно занимающегося физкультурой и спортом (%)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</w:t>
            </w:r>
          </w:p>
        </w:tc>
        <w:tc>
          <w:tcPr>
            <w:tcW w:w="1132" w:type="dxa"/>
            <w:textDirection w:val="lrTb"/>
            <w:vAlign w:val="top"/>
          </w:tcPr>
          <w:p>
            <w:pPr>
              <w:pStyle w:val="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pStyle w:val="179"/>
        <w:pageBreakBefore/>
        <w:numPr>
          <w:numId w:val="5"/>
          <w:ilvl w:val="0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Показатели муниципальной программы</w:t>
      </w:r>
      <w:r>
        <w:rPr>
          <w:rFonts w:ascii="Times New Roman" w:hAnsi="Times New Roman" w:cs="Times New Roman"/>
          <w:b/>
          <w:sz w:val="16"/>
          <w:szCs w:val="16"/>
        </w:rPr>
      </w:r>
    </w:p>
    <w:p>
      <w:pPr>
        <w:pStyle w:val="179"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</w:r>
    </w:p>
    <w:tbl>
      <w:tblPr>
        <w:tblW w:w="15735" w:type="dxa"/>
        <w:tblInd w:w="-318" w:type="dxa"/>
        <w:tblLayout w:type="fixed"/>
        <w:tblCellMar>
          <w:left w:w="108" w:type="dxa"/>
          <w:top w:w="0" w:type="dxa"/>
          <w:right w:w="108" w:type="dxa"/>
          <w:bottom w:w="0" w:type="dxa"/>
        </w:tblCellMar>
      </w:tblPr>
      <w:tblGrid>
        <w:gridCol w:w="562"/>
        <w:gridCol w:w="1565"/>
        <w:gridCol w:w="709"/>
        <w:gridCol w:w="850"/>
        <w:gridCol w:w="851"/>
        <w:gridCol w:w="567"/>
        <w:gridCol w:w="709"/>
        <w:gridCol w:w="567"/>
        <w:gridCol w:w="567"/>
        <w:gridCol w:w="567"/>
        <w:gridCol w:w="567"/>
        <w:gridCol w:w="567"/>
        <w:gridCol w:w="567"/>
        <w:gridCol w:w="1559"/>
        <w:gridCol w:w="1134"/>
        <w:gridCol w:w="1276"/>
        <w:gridCol w:w="2551"/>
      </w:tblGrid>
      <w:tr>
        <w:trPr>
          <w:trHeight w:val="150"/>
        </w:trPr>
        <w:tc>
          <w:tcPr>
            <w:tcW w:w="5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п/п</w:t>
            </w:r>
          </w:p>
        </w:tc>
        <w:tc>
          <w:tcPr>
            <w:tcW w:w="15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Уровень показателя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Признак возрастания/ убывания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Единица измерения (по ОКЕИ)</w:t>
            </w: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Базовое значение</w:t>
            </w:r>
          </w:p>
        </w:tc>
        <w:tc>
          <w:tcPr>
            <w:tcW w:w="340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Значение показателя по годам</w:t>
            </w: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Документ</w:t>
            </w:r>
          </w:p>
        </w:tc>
        <w:tc>
          <w:tcPr>
            <w:tcW w:w="11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Ответственный за достижение показателя</w:t>
            </w:r>
          </w:p>
        </w:tc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Связь с показат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елями национальных целей </w:t>
            </w:r>
          </w:p>
        </w:tc>
        <w:tc>
          <w:tcPr>
            <w:tcW w:w="25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Связь с показателями государственных программ Белгородской области</w:t>
            </w:r>
          </w:p>
        </w:tc>
      </w:tr>
      <w:tr>
        <w:trPr>
          <w:cantSplit/>
          <w:trHeight w:val="598"/>
        </w:trPr>
        <w:tc>
          <w:tcPr>
            <w:tcW w:w="5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5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7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значение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год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btLr"/>
            <w:vAlign w:val="center"/>
          </w:tcPr>
          <w:p>
            <w:pPr>
              <w:pStyle w:val="Normal"/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btLr"/>
            <w:vAlign w:val="center"/>
          </w:tcPr>
          <w:p>
            <w:pPr>
              <w:pStyle w:val="Normal"/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2026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btLr"/>
            <w:vAlign w:val="center"/>
          </w:tcPr>
          <w:p>
            <w:pPr>
              <w:pStyle w:val="Normal"/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btLr"/>
            <w:vAlign w:val="center"/>
          </w:tcPr>
          <w:p>
            <w:pPr>
              <w:pStyle w:val="Normal"/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btLr"/>
            <w:vAlign w:val="center"/>
          </w:tcPr>
          <w:p>
            <w:pPr>
              <w:pStyle w:val="Normal"/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btLr"/>
            <w:vAlign w:val="center"/>
          </w:tcPr>
          <w:p>
            <w:pPr>
              <w:pStyle w:val="Normal"/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2030</w:t>
            </w: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1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25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rPr>
          <w:trHeight w:val="72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179"/>
              <w:spacing w:after="0" w:line="240" w:lineRule="auto"/>
              <w:ind w:left="0" w:right="-21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179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179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179"/>
              <w:spacing w:after="0" w:line="240" w:lineRule="auto"/>
              <w:ind w:left="27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179"/>
              <w:spacing w:after="0" w:line="240" w:lineRule="auto"/>
              <w:ind w:left="-2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179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179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179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179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13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179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179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15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179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16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179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17</w:t>
            </w:r>
          </w:p>
        </w:tc>
      </w:tr>
      <w:tr>
        <w:trPr>
          <w:trHeight w:val="70"/>
        </w:trPr>
        <w:tc>
          <w:tcPr>
            <w:tcW w:w="15735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179"/>
              <w:spacing w:after="0" w:line="240" w:lineRule="auto"/>
              <w:ind w:left="0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 1.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Создание условий для развития массовой физической культуры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массового спорта среди разли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чных категорий населения района</w:t>
            </w:r>
          </w:p>
        </w:tc>
      </w:tr>
      <w:tr>
        <w:trPr>
          <w:trHeight w:val="372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1.1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населения граждан Ивнянского района, систематически занимающихся физической культурой и спортом, процент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МП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Прогрессирующий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% (Проц)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35,0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36,5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37,0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37,5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38,0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38,5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39,0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Распоряжен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ие Правительства Российской Федерации от 24.11.2020 года № 3081-р, распоряжение Правительства Российской Федерации от 01.10.2021 года № 2765-р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МБУ «ЦФКИС»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доли граждан, систематически занимающихся физической культурой и спортом, до 70 процентов.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граждан, систематически занимающихся физической культурой и спортом</w:t>
            </w:r>
          </w:p>
        </w:tc>
      </w:tr>
      <w:tr>
        <w:trPr>
          <w:trHeight w:val="373"/>
        </w:trPr>
        <w:tc>
          <w:tcPr>
            <w:tcW w:w="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1.2</w:t>
            </w:r>
          </w:p>
        </w:tc>
        <w:tc>
          <w:tcPr>
            <w:tcW w:w="1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населения Ивнянского района, систематически занимающих физической культурой и спортом, в общей численности населения района в возрасте от 3 до 79 лет, процент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МП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Прогрессир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ующий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% (Проц)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58,5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60,1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62,6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65,1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67,6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70,1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70,5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Распоряжение Правительства Российской Федерации от 24.11.2020 года № 3081-р, распоряжение Правительства Российской Федерации от 01.10.2021 года № 2765-р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МБУ «ЦФКИС»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доли граждан, систематиче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ски занимающихся физической культурой и спортом, до 70 процентов. Повышение ожидаемой продолжительности жизни до 78 лет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граждан, систематически занимающихся физической культурой и спортом -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55 лет (женщины) и от 60 лет (мужчины), до 79 лет включите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льно систематически Занимающихся физической культурой и спортом, в общей численности граждан данной возрастной категории</w:t>
            </w:r>
          </w:p>
        </w:tc>
      </w:tr>
    </w:tbl>
    <w:p>
      <w:pPr>
        <w:pStyle w:val="179"/>
        <w:spacing w:after="0" w:line="240" w:lineRule="auto"/>
        <w:ind w:left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</w:r>
    </w:p>
    <w:p>
      <w:pPr>
        <w:pStyle w:val="179"/>
        <w:pageBreakBefore/>
        <w:numPr>
          <w:numId w:val="5"/>
          <w:ilvl w:val="0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План достижения показателей муниципальной программы в 2025 году</w:t>
      </w:r>
      <w:r>
        <w:rPr>
          <w:rFonts w:ascii="Times New Roman" w:hAnsi="Times New Roman" w:cs="Times New Roman"/>
          <w:b/>
          <w:sz w:val="16"/>
          <w:szCs w:val="16"/>
        </w:rPr>
      </w:r>
    </w:p>
    <w:p>
      <w:pPr>
        <w:pStyle w:val="179"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</w:r>
    </w:p>
    <w:tbl>
      <w:tblPr>
        <w:tblW w:w="5100" w:type="pct"/>
        <w:tblInd w:w="-420" w:type="dxa"/>
        <w:tblLayout w:type="fixed"/>
        <w:tblCellMar>
          <w:left w:w="6" w:type="dxa"/>
          <w:top w:w="0" w:type="dxa"/>
          <w:right w:w="6" w:type="dxa"/>
          <w:bottom w:w="0" w:type="dxa"/>
        </w:tblCellMar>
      </w:tblPr>
      <w:tblGrid>
        <w:gridCol w:w="504"/>
        <w:gridCol w:w="4049"/>
        <w:gridCol w:w="1805"/>
        <w:gridCol w:w="1848"/>
        <w:gridCol w:w="477"/>
        <w:gridCol w:w="492"/>
        <w:gridCol w:w="495"/>
        <w:gridCol w:w="498"/>
        <w:gridCol w:w="498"/>
        <w:gridCol w:w="519"/>
        <w:gridCol w:w="517"/>
        <w:gridCol w:w="477"/>
        <w:gridCol w:w="480"/>
        <w:gridCol w:w="827"/>
        <w:gridCol w:w="744"/>
        <w:gridCol w:w="1254"/>
      </w:tblGrid>
      <w:tr>
        <w:trPr>
          <w:trHeight w:val="166"/>
          <w:tblHeader/>
        </w:trPr>
        <w:tc>
          <w:tcPr>
            <w:tcW w:w="4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п/п</w:t>
            </w:r>
          </w:p>
        </w:tc>
        <w:tc>
          <w:tcPr>
            <w:tcW w:w="39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Цели/показатели муниципальной программы </w:t>
            </w:r>
          </w:p>
        </w:tc>
        <w:tc>
          <w:tcPr>
            <w:tcW w:w="17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Уровень показателя</w:t>
            </w:r>
          </w:p>
        </w:tc>
        <w:tc>
          <w:tcPr>
            <w:tcW w:w="18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Ед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иница измерения (по ОКЕИ)</w:t>
            </w:r>
          </w:p>
        </w:tc>
        <w:tc>
          <w:tcPr>
            <w:tcW w:w="591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Плановые значения по месяцам</w:t>
            </w:r>
          </w:p>
        </w:tc>
        <w:tc>
          <w:tcPr>
            <w:tcW w:w="123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 конец 2025 года</w:t>
            </w:r>
          </w:p>
        </w:tc>
      </w:tr>
      <w:tr>
        <w:trPr>
          <w:trHeight w:val="355"/>
          <w:tblHeader/>
        </w:trPr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3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7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янв.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фев.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март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апр.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май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июнь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июль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авг.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сен.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окт.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ноя.</w:t>
            </w:r>
          </w:p>
        </w:tc>
        <w:tc>
          <w:tcPr>
            <w:tcW w:w="123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rPr>
          <w:trHeight w:val="70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</w:t>
            </w:r>
          </w:p>
        </w:tc>
        <w:tc>
          <w:tcPr>
            <w:tcW w:w="14700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5" w:right="53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 1. Создание условий для развития массовой физической культуры и массового спорта среди разли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чных категорий населе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ния района</w:t>
            </w:r>
          </w:p>
        </w:tc>
      </w:tr>
      <w:tr>
        <w:trPr>
          <w:trHeight w:val="386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1.1.</w:t>
            </w:r>
          </w:p>
        </w:tc>
        <w:tc>
          <w:tcPr>
            <w:tcW w:w="3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95" w:right="40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населения граждан Ивнянского района, систематически занимающихся физической культурой и спортом, процент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tLeas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Прогрессирующий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% (Проц)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35,13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35,25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35,38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35,5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35,63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35,75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38,88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36,0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36,13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36,25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36,38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36,5</w:t>
            </w:r>
          </w:p>
        </w:tc>
      </w:tr>
      <w:tr>
        <w:trPr>
          <w:trHeight w:val="386"/>
        </w:trPr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1.2.</w:t>
            </w:r>
          </w:p>
        </w:tc>
        <w:tc>
          <w:tcPr>
            <w:tcW w:w="3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95" w:right="40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населения Ивнянского рай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она, систематически занимающих физической культурой и спортом, в общей численности населения района в возрасте от 3 до 79 лет, процент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tLeas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Прогрессирующий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% (Проц)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58,5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58,63</w:t>
            </w:r>
          </w:p>
        </w:tc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58,76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58,89</w:t>
            </w:r>
          </w:p>
        </w:tc>
        <w:tc>
          <w:tcPr>
            <w:tcW w:w="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59,02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59,15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59,28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59,41</w:t>
            </w:r>
          </w:p>
        </w:tc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59,54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59,67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59,8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60,1</w:t>
            </w:r>
          </w:p>
        </w:tc>
      </w:tr>
    </w:tbl>
    <w:p>
      <w:pPr>
        <w:pStyle w:val="179"/>
        <w:spacing w:after="0" w:line="240" w:lineRule="auto"/>
        <w:ind w:left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</w:r>
    </w:p>
    <w:p>
      <w:pPr>
        <w:pStyle w:val="179"/>
        <w:numPr>
          <w:numId w:val="5"/>
          <w:ilvl w:val="0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Структура муниципальной п</w:t>
      </w:r>
      <w:r>
        <w:rPr>
          <w:rFonts w:ascii="Times New Roman" w:hAnsi="Times New Roman" w:cs="Times New Roman"/>
          <w:b/>
          <w:sz w:val="27"/>
          <w:szCs w:val="27"/>
        </w:rPr>
        <w:t xml:space="preserve">рограммы </w:t>
      </w:r>
      <w:r>
        <w:rPr>
          <w:rFonts w:ascii="Times New Roman" w:hAnsi="Times New Roman" w:cs="Times New Roman"/>
          <w:b/>
          <w:sz w:val="16"/>
          <w:szCs w:val="16"/>
        </w:rPr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</w:r>
    </w:p>
    <w:tbl>
      <w:tblPr>
        <w:tblW w:w="0" w:type="auto"/>
        <w:tblInd w:w="-318" w:type="dxa"/>
        <w:tblLayout w:type="fixed"/>
        <w:tblCellMar>
          <w:left w:w="108" w:type="dxa"/>
          <w:top w:w="0" w:type="dxa"/>
          <w:right w:w="108" w:type="dxa"/>
          <w:bottom w:w="0" w:type="dxa"/>
        </w:tblCellMar>
      </w:tblPr>
      <w:tblGrid>
        <w:gridCol w:w="710"/>
        <w:gridCol w:w="4536"/>
        <w:gridCol w:w="4536"/>
        <w:gridCol w:w="5528"/>
      </w:tblGrid>
      <w:tr>
        <w:trPr>
          <w:trHeight w:val="77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п/п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 структурного элемента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Краткое описание ожидаемых эффектов от реализации задачи структурного элемента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Связь с показателями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70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34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</w:t>
            </w:r>
          </w:p>
        </w:tc>
        <w:tc>
          <w:tcPr>
            <w:tcW w:w="14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«Развитие физической культуры и спорта на территории Ивнянского района»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24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1.M.</w:t>
            </w:r>
          </w:p>
        </w:tc>
        <w:tc>
          <w:tcPr>
            <w:tcW w:w="14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«Создание условий для развития физической культуры и спорта, пропаганда здорового образа жизни среди различных категорий населения района.»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28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реализацию: МБУ «ЦФКИС»</w:t>
            </w:r>
          </w:p>
        </w:tc>
        <w:tc>
          <w:tcPr>
            <w:tcW w:w="10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реализации: 2025-2030 годы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71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1.M.1</w:t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Популяризация физической культуры и спорта, пропаганда здорового образа жизни среди разли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чных категорий населения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Проведены мероприятия по популяризации физической культуры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 w:type="textWrapping" w:clear="all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спорта, пропаганды здорового образа жизни среди различных категорий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населения района. повышению охвата населения занятием спортом</w:t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населения граждан Ивнянского района, систематически занимающихся физической культурой и спортом, процент</w:t>
            </w:r>
          </w:p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населения Ивнянского района, систематически занимающих физической культурой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спортом,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 w:type="textWrapping" w:clear="all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общей численности населения района в возрасте от 3 до 79 лет, процент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206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2.М.</w:t>
            </w:r>
          </w:p>
        </w:tc>
        <w:tc>
          <w:tcPr>
            <w:tcW w:w="14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«Обеспечение деятельности Физкультурно-оздоровительного комплекса п. Ивня»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39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реализацию: МБУ «ЦФКИС»</w:t>
            </w:r>
          </w:p>
        </w:tc>
        <w:tc>
          <w:tcPr>
            <w:tcW w:w="10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2025-2030 годы-</w:t>
            </w:r>
          </w:p>
        </w:tc>
      </w:tr>
      <w:tr>
        <w:trPr>
          <w:trHeight w:val="342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2.М.1</w:t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муниципальных функций Физкультурно-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оздоровительного комплекса </w:t>
              <w:br w:type="textWrapping" w:clear="all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 действующим законодательством</w:t>
            </w:r>
          </w:p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задач по исполнению муниципальных функций и оказанию муниципальных услуг ФОК п. Ивня в соответствии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действующим законодательством, обеспечение соблюдения норм законодательства РФ и законодательства БО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населения граждан Ивнянского района, систематически занимающихся физической культурой и спортом, процент</w:t>
            </w:r>
          </w:p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населения Ивнянского района, система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тически занимающих физической культурой и спортом,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 w:type="textWrapping" w:clear="all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общей численности населения района в возрасте от 3 до 79 лет, процент</w:t>
            </w:r>
          </w:p>
        </w:tc>
      </w:tr>
      <w:tr>
        <w:trPr>
          <w:trHeight w:val="130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3.М.</w:t>
            </w:r>
          </w:p>
        </w:tc>
        <w:tc>
          <w:tcPr>
            <w:tcW w:w="14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«Обеспечение деятельности плавательного бассейна п. Ивня»</w:t>
            </w:r>
          </w:p>
        </w:tc>
      </w:tr>
      <w:tr>
        <w:trPr>
          <w:trHeight w:val="70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реализацию: МБУ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ЦФКИС»</w:t>
            </w:r>
          </w:p>
        </w:tc>
        <w:tc>
          <w:tcPr>
            <w:tcW w:w="10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реализации: 2025-2030 годы</w:t>
            </w:r>
          </w:p>
        </w:tc>
      </w:tr>
      <w:tr>
        <w:trPr>
          <w:trHeight w:val="342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3.М.1</w:t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муниципальных функций плавательног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бассейна в соответствии </w:t>
              <w:br w:type="textWrapping" w:clear="all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действующим законодательством</w:t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задач по исполнению муниципальных функций и оказанию муниципальных услуг плавательного бассейна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 Ивня в соответствии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 w:type="textWrapping" w:clear="all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действующим законодательством, обеспечение соблюдения норм законодательства РФ и законодательства БО</w:t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населения граждан Ивнянского района, систематически занимающихся физической культурой и спортом, процент</w:t>
            </w:r>
          </w:p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населения Ивн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янского района, систематически занимающих физической культурой и спортом,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 w:type="textWrapping" w:clear="all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общей численности населения района в возрасте от 3 до 79 лет, процент</w:t>
            </w:r>
          </w:p>
        </w:tc>
      </w:tr>
      <w:tr>
        <w:trPr>
          <w:trHeight w:val="196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4.М.</w:t>
            </w:r>
          </w:p>
        </w:tc>
        <w:tc>
          <w:tcPr>
            <w:tcW w:w="146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«Обеспечение деятельности Дома спорта с. Новенькое»</w:t>
            </w:r>
          </w:p>
        </w:tc>
      </w:tr>
      <w:tr>
        <w:trPr>
          <w:trHeight w:val="70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реализацию: МБУ «ЦФКИС»</w:t>
            </w:r>
          </w:p>
        </w:tc>
        <w:tc>
          <w:tcPr>
            <w:tcW w:w="100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реализации: 2025-2030 годы</w:t>
            </w:r>
          </w:p>
        </w:tc>
      </w:tr>
      <w:tr>
        <w:trPr>
          <w:trHeight w:val="342"/>
        </w:trPr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4.М.1</w:t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муниципальных функций Дома спорта с. Новенькое» в соответствии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 w:type="textWrapping" w:clear="all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действующим законодательством</w:t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задач по исполнению муниципальных функций и оказанию муниципальных услуг 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 спорта с. Новенькое» в соответствии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 w:type="textWrapping" w:clear="all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действующим законодательством, обеспечение соблюдения норм законодательства РФ и законодательства БО</w:t>
            </w:r>
          </w:p>
        </w:tc>
        <w:tc>
          <w:tcPr>
            <w:tcW w:w="5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населения граждан Ивнянского района, систематически занимающихся физической культурой и спортом, процент</w:t>
            </w:r>
          </w:p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 населения Ивнянского района, систематически занимающих физической культурой и спортом,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 w:type="textWrapping" w:clear="all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общей численности населения района в возрасте от 3 до 79 лет, процент</w:t>
            </w:r>
          </w:p>
        </w:tc>
      </w:tr>
    </w:tbl>
    <w:p>
      <w:pPr>
        <w:pStyle w:val="179"/>
        <w:spacing w:after="0" w:line="240" w:lineRule="auto"/>
        <w:ind w:left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</w:r>
    </w:p>
    <w:p>
      <w:pPr>
        <w:pStyle w:val="179"/>
        <w:numPr>
          <w:numId w:val="5"/>
          <w:ilvl w:val="0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Финансовое обеспечение муниципальной программы</w:t>
      </w:r>
      <w:r>
        <w:rPr>
          <w:rFonts w:ascii="Times New Roman" w:hAnsi="Times New Roman" w:cs="Times New Roman"/>
          <w:b/>
          <w:sz w:val="16"/>
          <w:szCs w:val="16"/>
        </w:rPr>
      </w:r>
    </w:p>
    <w:p>
      <w:pPr>
        <w:pStyle w:val="Normal"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</w:r>
    </w:p>
    <w:tbl>
      <w:tblPr>
        <w:tblW w:w="0" w:type="auto"/>
        <w:tblInd w:w="-318" w:type="dxa"/>
        <w:tblLayout w:type="fixed"/>
        <w:tblCellMar>
          <w:left w:w="108" w:type="dxa"/>
          <w:top w:w="0" w:type="dxa"/>
          <w:right w:w="108" w:type="dxa"/>
          <w:bottom w:w="0" w:type="dxa"/>
        </w:tblCellMar>
      </w:tblPr>
      <w:tblGrid>
        <w:gridCol w:w="6379"/>
        <w:gridCol w:w="1701"/>
        <w:gridCol w:w="993"/>
        <w:gridCol w:w="992"/>
        <w:gridCol w:w="992"/>
        <w:gridCol w:w="992"/>
        <w:gridCol w:w="992"/>
        <w:gridCol w:w="993"/>
        <w:gridCol w:w="1276"/>
      </w:tblGrid>
      <w:tr>
        <w:trPr>
          <w:trHeight w:val="144"/>
        </w:trPr>
        <w:tc>
          <w:tcPr>
            <w:tcW w:w="6379" w:type="dxa"/>
            <w:vMerge w:val="restart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муниципальной программы, структ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урного элемента / источник финансового обеспечения</w:t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Код бюджетной классификации</w:t>
            </w:r>
          </w:p>
        </w:tc>
        <w:tc>
          <w:tcPr>
            <w:tcW w:w="723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Объем финансового обеспечения по годам реализации, тыс. рублей</w:t>
            </w:r>
          </w:p>
        </w:tc>
      </w:tr>
      <w:tr>
        <w:trPr>
          <w:trHeight w:val="112"/>
        </w:trPr>
        <w:tc>
          <w:tcPr>
            <w:tcW w:w="6379" w:type="dxa"/>
            <w:vMerge w:val="continue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2029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2030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Всего</w:t>
            </w:r>
          </w:p>
        </w:tc>
      </w:tr>
      <w:tr>
        <w:trPr>
          <w:trHeight w:val="70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</w:t>
            </w:r>
          </w:p>
        </w:tc>
      </w:tr>
      <w:tr>
        <w:trPr>
          <w:trHeight w:val="298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bookmarkStart w:id="2" w:name="_Hlk181773493"/>
            <w:bookmarkEnd w:id="2"/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Муниципальная программа «Развитие физической культуры и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спорта на территории Ивнянского района» (всего), в том числе:</w:t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06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67087,2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24315,0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24553,0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25512,9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26511,7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27550,0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19552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9,8</w:t>
            </w:r>
          </w:p>
        </w:tc>
      </w:tr>
      <w:tr>
        <w:trPr>
          <w:trHeight w:val="110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bookmarkStart w:id="3" w:name="_Hlk181773730"/>
            <w:bookmarkEnd w:id="3"/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Местный бюджет (всего), из них: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67087,2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24315,0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24553,0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25512,9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26511,7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27550,0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19552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9,8</w:t>
            </w:r>
          </w:p>
        </w:tc>
      </w:tr>
      <w:tr>
        <w:trPr>
          <w:trHeight w:val="183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bookmarkStart w:id="4" w:name="_Hlk181773507"/>
            <w:bookmarkEnd w:id="4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- межбюджетные трансферты из федерального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бюджета (справочно)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</w:t>
            </w:r>
          </w:p>
        </w:tc>
      </w:tr>
      <w:tr>
        <w:trPr>
          <w:trHeight w:val="144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bookmarkStart w:id="5" w:name="_Hlk181773784"/>
            <w:bookmarkEnd w:id="5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- межбюджетные трансферты из областного бюджета (справочно)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34853,2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3485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3,2</w:t>
            </w:r>
          </w:p>
        </w:tc>
      </w:tr>
      <w:tr>
        <w:trPr>
          <w:trHeight w:val="185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- местный бюджет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32234,0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24315,0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24553,0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25512,9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26511,7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27550,0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160676,6</w:t>
            </w:r>
          </w:p>
        </w:tc>
      </w:tr>
      <w:tr>
        <w:trPr>
          <w:trHeight w:val="70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Внебюджетные источники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</w:t>
            </w:r>
          </w:p>
        </w:tc>
      </w:tr>
      <w:tr>
        <w:trPr>
          <w:trHeight w:val="132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Нераспределенный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резерв (местный бюджет)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</w:t>
            </w:r>
          </w:p>
        </w:tc>
      </w:tr>
      <w:tr>
        <w:trPr>
          <w:trHeight w:val="220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Объем налоговых расходов муниципального образования (справочно)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</w:t>
            </w:r>
          </w:p>
        </w:tc>
      </w:tr>
      <w:tr>
        <w:trPr>
          <w:trHeight w:val="220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Комплекс процессных мероприятий «Создание условий для развития физической культуры и спорта, пропаганда здорового образа жизни среди ра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зличных категорий населения района»(всего), в том числе:</w:t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06 4 01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3300,0</w:t>
            </w:r>
          </w:p>
        </w:tc>
      </w:tr>
      <w:tr>
        <w:trPr>
          <w:trHeight w:val="220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Местный бюджет (всего), из них: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3300,0</w:t>
            </w:r>
          </w:p>
        </w:tc>
      </w:tr>
      <w:tr>
        <w:trPr>
          <w:trHeight w:val="220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220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межбюджетные трансферты из областного бюджета (справочно)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220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местный бюджет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3300,0</w:t>
            </w:r>
          </w:p>
        </w:tc>
      </w:tr>
      <w:tr>
        <w:trPr>
          <w:trHeight w:val="80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Внебюджетные источники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134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Комплекс процессных мероприятий «Обеспечение деятельности Физкультурно-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оздоровительного комплекса п. Ивня» (всего), в том числе:</w:t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06 4 02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47964,7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11835,0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11973,0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12451,9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12950,0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13468,0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110642,6</w:t>
            </w:r>
          </w:p>
        </w:tc>
      </w:tr>
      <w:tr>
        <w:trPr>
          <w:trHeight w:val="134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Местный бюджет (всего), из них: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47964,7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11835,0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11973,0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12451,9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12950,0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13468,0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110642,6</w:t>
            </w:r>
          </w:p>
        </w:tc>
      </w:tr>
      <w:tr>
        <w:trPr>
          <w:trHeight w:val="134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межбюджетные трансферты из федерального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бюджета (справочно)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134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межбюджетные трансферты из областного бюджета (справочно)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34853,2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34853,2</w:t>
            </w:r>
          </w:p>
        </w:tc>
      </w:tr>
      <w:tr>
        <w:trPr>
          <w:trHeight w:val="134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местный бюджет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13111,5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11835,0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11973,0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12451,9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12950,0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13468,0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75789,4</w:t>
            </w:r>
          </w:p>
        </w:tc>
      </w:tr>
      <w:tr>
        <w:trPr>
          <w:trHeight w:val="134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Внебюджетные источники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134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Нераспределенный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резерв (местный бюджет)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134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Комплекс процессных мероприятий «Обеспечение деятельности плавательного бассейна п. Ивня»  (всего), в том числе:</w:t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06 4 03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13499,3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7550,0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7600,0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7904,0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8220,2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8548,9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53322,4</w:t>
            </w:r>
          </w:p>
        </w:tc>
      </w:tr>
      <w:tr>
        <w:trPr>
          <w:trHeight w:val="134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firstLine="33"/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Местный бюджет (всего), из них: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13499,3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7600,0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7904,0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8220,2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8548,9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533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22,4</w:t>
            </w:r>
          </w:p>
        </w:tc>
      </w:tr>
      <w:tr>
        <w:trPr>
          <w:trHeight w:val="134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firstLine="33"/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134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firstLine="33"/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межбюджетные трансферты из областного бюджета (справочно)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134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firstLine="33"/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местный бюджет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13499,3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7550,0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7600,0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7904,0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8220,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8548,9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53322,4</w:t>
            </w:r>
          </w:p>
        </w:tc>
      </w:tr>
      <w:tr>
        <w:trPr>
          <w:trHeight w:val="134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firstLine="33"/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Внебюджетные источники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134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firstLine="33"/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Нераспределенный резерв (местный бюджет)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134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Комплекс процессных мероприятий «Обеспечение деятельности Дома спорта с. Новенькое» (всего), в том числе:</w:t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06 4 04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5073,2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4380,0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4430,0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4607,0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4791,5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983,1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28264,8</w:t>
            </w:r>
          </w:p>
        </w:tc>
      </w:tr>
      <w:tr>
        <w:trPr>
          <w:trHeight w:val="134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firstLine="33"/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Местный бюджет (всего), из них: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5073,2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4380,0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4430,0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4607,0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4791,5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4983,1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28264,8</w:t>
            </w:r>
          </w:p>
        </w:tc>
      </w:tr>
      <w:tr>
        <w:trPr>
          <w:trHeight w:val="134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firstLine="33"/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134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firstLine="33"/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межбюджетные трансферты из областного бюджета (справочно)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134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firstLine="33"/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м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естный бюджет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5073,2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4380,0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4430,0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4607,0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4791,5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4983,1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28264,8</w:t>
            </w:r>
          </w:p>
        </w:tc>
      </w:tr>
      <w:tr>
        <w:trPr>
          <w:trHeight w:val="134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firstLine="33"/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Внебюджетные источники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134"/>
        </w:trPr>
        <w:tc>
          <w:tcPr>
            <w:tcW w:w="6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firstLine="33"/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Нераспределенный резерв (местный бюджет)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</w:tbl>
    <w:p>
      <w:pPr>
        <w:pStyle w:val="Normal"/>
      </w:pPr>
    </w:p>
    <w:p>
      <w:pPr>
        <w:pStyle w:val="Normal"/>
      </w:pPr>
    </w:p>
    <w:p>
      <w:pPr>
        <w:pStyle w:val="Normal"/>
      </w:pPr>
    </w:p>
    <w:p>
      <w:pPr>
        <w:pStyle w:val="Normal"/>
      </w:pPr>
    </w:p>
    <w:p>
      <w:pPr>
        <w:pStyle w:val="Normal"/>
      </w:pPr>
    </w:p>
    <w:p>
      <w:pPr>
        <w:pStyle w:val="Normal"/>
      </w:pPr>
    </w:p>
    <w:p>
      <w:pPr>
        <w:pStyle w:val="Normal"/>
      </w:pPr>
    </w:p>
    <w:p>
      <w:pPr>
        <w:pStyle w:val="Normal"/>
      </w:pPr>
    </w:p>
    <w:p>
      <w:pPr>
        <w:pStyle w:val="Normal"/>
      </w:pPr>
    </w:p>
    <w:p>
      <w:pPr>
        <w:pStyle w:val="Normal"/>
        <w:widowControl w:val="off"/>
        <w:spacing w:after="0" w:line="240" w:lineRule="auto"/>
        <w:ind w:left="10773"/>
        <w:jc w:val="center"/>
        <w:rPr>
          <w:rFonts w:ascii="Times New Roman" w:hAnsi="Times New Roman" w:eastAsia="Times New Roman" w:cs="Times New Roman"/>
          <w:b/>
          <w:color w:val="000000"/>
          <w:sz w:val="27"/>
          <w:szCs w:val="27"/>
        </w:rPr>
      </w:pPr>
      <w:r>
        <w:rPr>
          <w:rFonts w:ascii="Times New Roman" w:hAnsi="Times New Roman" w:eastAsia="Times New Roman" w:cs="Times New Roman"/>
          <w:b/>
          <w:color w:val="000000"/>
          <w:sz w:val="27"/>
          <w:szCs w:val="27"/>
        </w:rPr>
        <w:t xml:space="preserve">УТВЕРЖДЕН</w:t>
      </w:r>
    </w:p>
    <w:p>
      <w:pPr>
        <w:pStyle w:val="Normal"/>
        <w:widowControl w:val="off"/>
        <w:spacing w:after="0" w:line="240" w:lineRule="auto"/>
        <w:ind w:left="10773"/>
        <w:jc w:val="center"/>
        <w:rPr>
          <w:rFonts w:ascii="Times New Roman" w:hAnsi="Times New Roman" w:eastAsia="Times New Roman" w:cs="Times New Roman"/>
          <w:b/>
          <w:color w:val="000000"/>
          <w:sz w:val="27"/>
          <w:szCs w:val="27"/>
        </w:rPr>
      </w:pPr>
      <w:r>
        <w:rPr>
          <w:rFonts w:ascii="Times New Roman" w:hAnsi="Times New Roman" w:eastAsia="Times New Roman" w:cs="Times New Roman"/>
          <w:b/>
          <w:color w:val="000000"/>
          <w:sz w:val="27"/>
          <w:szCs w:val="27"/>
        </w:rPr>
        <w:t xml:space="preserve">постановлением администрации Ивнянского района</w:t>
      </w:r>
    </w:p>
    <w:p>
      <w:pPr>
        <w:pStyle w:val="Normal"/>
        <w:widowControl w:val="off"/>
        <w:spacing w:after="0" w:line="240" w:lineRule="auto"/>
        <w:ind w:left="10773"/>
        <w:jc w:val="center"/>
        <w:rPr>
          <w:rFonts w:ascii="Times New Roman" w:hAnsi="Times New Roman" w:eastAsia="Times New Roman" w:cs="Times New Roman"/>
          <w:b/>
          <w:color w:val="000000"/>
          <w:sz w:val="27"/>
          <w:szCs w:val="27"/>
        </w:rPr>
      </w:pPr>
      <w:r>
        <w:rPr>
          <w:rFonts w:ascii="Times New Roman" w:hAnsi="Times New Roman" w:eastAsia="Times New Roman" w:cs="Times New Roman"/>
          <w:b/>
          <w:color w:val="000000"/>
          <w:sz w:val="27"/>
          <w:szCs w:val="27"/>
        </w:rPr>
        <w:t xml:space="preserve">«___ »__________  2024 г. № </w:t>
      </w:r>
      <w:r>
        <w:rPr>
          <w:rFonts w:ascii="Times New Roman" w:hAnsi="Times New Roman" w:eastAsia="Times New Roman" w:cs="Times New Roman"/>
          <w:b/>
          <w:color w:val="000000"/>
          <w:sz w:val="27"/>
          <w:szCs w:val="27"/>
        </w:rPr>
        <w:t xml:space="preserve">____</w:t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sz w:val="32"/>
          <w:szCs w:val="20"/>
        </w:rPr>
      </w:pPr>
      <w:r>
        <w:rPr>
          <w:rFonts w:ascii="Times New Roman" w:hAnsi="Times New Roman" w:cs="Times New Roman"/>
          <w:sz w:val="32"/>
          <w:szCs w:val="20"/>
        </w:rPr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ПАСПОРТ</w:t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комплекса процессных мероприятий</w:t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«Создание условий для развития физической культуры и спорта, пропаганда здорового образа жизни среди различных ка</w:t>
      </w:r>
      <w:r>
        <w:rPr>
          <w:rFonts w:ascii="Times New Roman" w:hAnsi="Times New Roman" w:cs="Times New Roman"/>
          <w:b/>
          <w:sz w:val="27"/>
          <w:szCs w:val="27"/>
        </w:rPr>
        <w:t xml:space="preserve">тегорий населения района</w:t>
      </w:r>
      <w:r>
        <w:rPr>
          <w:rFonts w:ascii="Times New Roman" w:hAnsi="Times New Roman" w:cs="Times New Roman"/>
          <w:b/>
          <w:sz w:val="27"/>
          <w:szCs w:val="27"/>
        </w:rPr>
        <w:t xml:space="preserve">»</w:t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(далее – комплекс процессных мероприятия 1)</w:t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Normal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179"/>
        <w:numPr>
          <w:numId w:val="6"/>
          <w:ilvl w:val="0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Общие положения</w:t>
      </w:r>
      <w:r>
        <w:rPr>
          <w:rFonts w:ascii="Times New Roman" w:hAnsi="Times New Roman" w:cs="Times New Roman"/>
          <w:b/>
          <w:sz w:val="16"/>
          <w:szCs w:val="16"/>
        </w:rPr>
      </w:r>
    </w:p>
    <w:p>
      <w:pPr>
        <w:pStyle w:val="Normal"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</w:r>
    </w:p>
    <w:tbl>
      <w:tblPr>
        <w:tblW w:w="0" w:type="auto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</w:tblPr>
      <w:tblGrid>
        <w:gridCol w:w="3970"/>
        <w:gridCol w:w="11057"/>
      </w:tblGrid>
      <w:tr>
        <w:trPr>
          <w:trHeight w:val="133"/>
        </w:trPr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Ответст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венный орган: </w:t>
            </w:r>
          </w:p>
        </w:tc>
        <w:tc>
          <w:tcPr>
            <w:tcW w:w="1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Наименование ОИВ: МБУ «ЦФКИС», 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директор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а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Дудко Юлия Юрьевна</w:t>
            </w:r>
          </w:p>
        </w:tc>
      </w:tr>
      <w:tr>
        <w:trPr>
          <w:trHeight w:val="80"/>
        </w:trPr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Связь с муниципальной программой: </w:t>
            </w:r>
          </w:p>
        </w:tc>
        <w:tc>
          <w:tcPr>
            <w:tcW w:w="1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Муниципальная программа «Развитие физической культуры и спорта на территории Ивнянского района»</w:t>
            </w:r>
          </w:p>
        </w:tc>
      </w:tr>
    </w:tbl>
    <w:p>
      <w:pPr>
        <w:pStyle w:val="Normal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</w:p>
    <w:p>
      <w:pPr>
        <w:pStyle w:val="179"/>
        <w:numPr>
          <w:numId w:val="6"/>
          <w:ilvl w:val="0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Показатели комплекса процессных мер</w:t>
      </w:r>
      <w:r>
        <w:rPr>
          <w:rFonts w:ascii="Times New Roman" w:hAnsi="Times New Roman" w:cs="Times New Roman"/>
          <w:b/>
          <w:sz w:val="27"/>
          <w:szCs w:val="27"/>
        </w:rPr>
        <w:t xml:space="preserve">оприятий 1</w:t>
      </w:r>
      <w:r>
        <w:rPr>
          <w:rFonts w:ascii="Times New Roman" w:hAnsi="Times New Roman" w:cs="Times New Roman"/>
          <w:sz w:val="16"/>
          <w:szCs w:val="20"/>
        </w:rPr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</w:r>
    </w:p>
    <w:tbl>
      <w:tblPr>
        <w:tblW w:w="0" w:type="auto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</w:tblPr>
      <w:tblGrid>
        <w:gridCol w:w="572"/>
        <w:gridCol w:w="2973"/>
        <w:gridCol w:w="992"/>
        <w:gridCol w:w="709"/>
        <w:gridCol w:w="992"/>
        <w:gridCol w:w="709"/>
        <w:gridCol w:w="709"/>
        <w:gridCol w:w="708"/>
        <w:gridCol w:w="709"/>
        <w:gridCol w:w="709"/>
        <w:gridCol w:w="709"/>
        <w:gridCol w:w="708"/>
        <w:gridCol w:w="709"/>
        <w:gridCol w:w="17"/>
        <w:gridCol w:w="1400"/>
        <w:gridCol w:w="17"/>
        <w:gridCol w:w="1684"/>
      </w:tblGrid>
      <w:tr>
        <w:trPr>
          <w:trHeight w:val="286"/>
        </w:trPr>
        <w:tc>
          <w:tcPr>
            <w:tcW w:w="5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</w:t>
            </w:r>
          </w:p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п/п</w:t>
            </w:r>
          </w:p>
        </w:tc>
        <w:tc>
          <w:tcPr>
            <w:tcW w:w="29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показателя/задачи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Признак возрастания/ убывания</w:t>
            </w:r>
          </w:p>
        </w:tc>
        <w:tc>
          <w:tcPr>
            <w:tcW w:w="70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Уровень показателя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Единица измерения (по ОКЕИ)</w:t>
            </w:r>
          </w:p>
        </w:tc>
        <w:tc>
          <w:tcPr>
            <w:tcW w:w="1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Базовое значение</w:t>
            </w:r>
          </w:p>
        </w:tc>
        <w:tc>
          <w:tcPr>
            <w:tcW w:w="426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Значение показателей по годам</w:t>
            </w: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Ответственный за достижение показателя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Информационная система</w:t>
            </w:r>
          </w:p>
        </w:tc>
      </w:tr>
      <w:tr>
        <w:trPr>
          <w:trHeight w:val="77"/>
        </w:trPr>
        <w:tc>
          <w:tcPr>
            <w:tcW w:w="5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29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709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70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значение</w:t>
            </w:r>
          </w:p>
        </w:tc>
        <w:tc>
          <w:tcPr>
            <w:tcW w:w="70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год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025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2028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2029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2030</w:t>
            </w: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rPr>
          <w:trHeight w:val="143"/>
        </w:trPr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</w:t>
            </w: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</w:t>
            </w: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11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12</w:t>
            </w:r>
          </w:p>
        </w:tc>
      </w:tr>
      <w:tr>
        <w:trPr>
          <w:trHeight w:val="243"/>
        </w:trPr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9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</w:t>
            </w:r>
          </w:p>
        </w:tc>
        <w:tc>
          <w:tcPr>
            <w:tcW w:w="14454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9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Задача 1. Популяризация физической культуры и спорта, пропаганда здорового образа жизни среди различных категорий населения района.</w:t>
            </w:r>
          </w:p>
        </w:tc>
      </w:tr>
      <w:tr>
        <w:trPr>
          <w:trHeight w:val="1094"/>
        </w:trPr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9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1.1</w:t>
            </w: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9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граждан Ивнянского района, систематически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занимающихся физической культурой и спортом, процент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Прогрессирующий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КМП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Чел.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-108" w:right="-111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7329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-108" w:right="-111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-108" w:right="-111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7643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-108" w:right="-111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7747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-108" w:right="-111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7852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-108" w:right="-111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7957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-108" w:right="-111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8000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-108" w:right="-111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8166</w:t>
            </w: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МБУ «ЦФКИС»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9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</w:tr>
      <w:tr>
        <w:trPr>
          <w:trHeight w:val="428"/>
        </w:trPr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9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1.2</w:t>
            </w: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9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граждан Ивнянского района, систематически занимающих физической культурой и спортом, в общей численности 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аселения района в возрасте от 3 до 79 лет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Прогрессирующий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КМП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Чел.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-108" w:right="-111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12249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-108" w:right="-111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-108" w:right="-111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12584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-108" w:right="-111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13108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-108" w:right="-111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13631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-108" w:right="-111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14155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-108" w:right="-111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14678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-108" w:right="-111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14762</w:t>
            </w: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МБУ «ЦФКИС»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9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</w:tr>
    </w:tbl>
    <w:p>
      <w:pPr>
        <w:pStyle w:val="179"/>
        <w:numPr>
          <w:numId w:val="6"/>
          <w:ilvl w:val="0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16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Помесячный план достижения показателей комплекса процессных мероприятий 1 в 2025 году</w:t>
      </w:r>
      <w:r>
        <w:rPr>
          <w:rFonts w:ascii="Times New Roman" w:hAnsi="Times New Roman" w:cs="Times New Roman"/>
          <w:b/>
          <w:sz w:val="16"/>
          <w:szCs w:val="27"/>
        </w:rPr>
      </w:r>
    </w:p>
    <w:p>
      <w:pPr>
        <w:pStyle w:val="179"/>
        <w:spacing w:after="0" w:line="240" w:lineRule="auto"/>
        <w:ind w:left="0"/>
        <w:rPr>
          <w:rFonts w:ascii="Times New Roman" w:hAnsi="Times New Roman" w:cs="Times New Roman"/>
          <w:b/>
          <w:sz w:val="16"/>
          <w:szCs w:val="27"/>
        </w:rPr>
      </w:pPr>
      <w:r>
        <w:rPr>
          <w:rFonts w:ascii="Times New Roman" w:hAnsi="Times New Roman" w:cs="Times New Roman"/>
          <w:b/>
          <w:sz w:val="16"/>
          <w:szCs w:val="27"/>
        </w:rPr>
      </w:r>
    </w:p>
    <w:tbl>
      <w:tblPr>
        <w:tblW w:w="5000" w:type="pct"/>
        <w:tblInd w:w="-136" w:type="dxa"/>
        <w:tblLayout w:type="fixed"/>
        <w:tblCellMar>
          <w:left w:w="6" w:type="dxa"/>
          <w:top w:w="0" w:type="dxa"/>
          <w:right w:w="6" w:type="dxa"/>
          <w:bottom w:w="0" w:type="dxa"/>
        </w:tblCellMar>
      </w:tblPr>
      <w:tblGrid>
        <w:gridCol w:w="550"/>
        <w:gridCol w:w="3945"/>
        <w:gridCol w:w="1067"/>
        <w:gridCol w:w="1582"/>
        <w:gridCol w:w="537"/>
        <w:gridCol w:w="537"/>
        <w:gridCol w:w="537"/>
        <w:gridCol w:w="537"/>
        <w:gridCol w:w="537"/>
        <w:gridCol w:w="537"/>
        <w:gridCol w:w="625"/>
        <w:gridCol w:w="582"/>
        <w:gridCol w:w="738"/>
        <w:gridCol w:w="734"/>
        <w:gridCol w:w="1029"/>
        <w:gridCol w:w="1106"/>
      </w:tblGrid>
      <w:tr>
        <w:trPr>
          <w:trHeight w:val="187"/>
          <w:tblHeader/>
        </w:trPr>
        <w:tc>
          <w:tcPr>
            <w:tcW w:w="5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п/п</w:t>
            </w:r>
          </w:p>
        </w:tc>
        <w:tc>
          <w:tcPr>
            <w:tcW w:w="38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Показатели комплекса процессных ме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роприятий</w:t>
            </w:r>
          </w:p>
        </w:tc>
        <w:tc>
          <w:tcPr>
            <w:tcW w:w="1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Уровень показателя</w:t>
            </w:r>
          </w:p>
        </w:tc>
        <w:tc>
          <w:tcPr>
            <w:tcW w:w="15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(по ОКЕИ)</w:t>
            </w:r>
          </w:p>
        </w:tc>
        <w:tc>
          <w:tcPr>
            <w:tcW w:w="6799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Плановые значения по месяцам</w:t>
            </w:r>
          </w:p>
        </w:tc>
        <w:tc>
          <w:tcPr>
            <w:tcW w:w="10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 конец 2025года</w:t>
            </w:r>
          </w:p>
        </w:tc>
      </w:tr>
      <w:tr>
        <w:trPr>
          <w:trHeight w:val="77"/>
          <w:tblHeader/>
        </w:trPr>
        <w:tc>
          <w:tcPr>
            <w:tcW w:w="5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3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5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янв.</w:t>
            </w:r>
          </w:p>
        </w:tc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фев.</w:t>
            </w:r>
          </w:p>
        </w:tc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март</w:t>
            </w:r>
          </w:p>
        </w:tc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апр.</w:t>
            </w:r>
          </w:p>
        </w:tc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май</w:t>
            </w:r>
          </w:p>
        </w:tc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июнь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июль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авг.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сен.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окт.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ноя.</w:t>
            </w:r>
          </w:p>
        </w:tc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rPr>
          <w:trHeight w:val="199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9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</w:t>
            </w:r>
          </w:p>
        </w:tc>
        <w:tc>
          <w:tcPr>
            <w:tcW w:w="14346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9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Задача 1. Популяризация физической культуры и спорта, пропаганда здорового образа жизни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среди различных категорий населения района.</w:t>
            </w:r>
          </w:p>
        </w:tc>
      </w:tr>
      <w:tr>
        <w:trPr>
          <w:trHeight w:val="576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9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1.1.</w:t>
            </w:r>
          </w:p>
        </w:tc>
        <w:tc>
          <w:tcPr>
            <w:tcW w:w="3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9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населения граждан Ивнянского района, систематически занимающихся физической культурой и спортом, процент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КМП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Чел.</w:t>
            </w:r>
          </w:p>
        </w:tc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7643</w:t>
            </w:r>
          </w:p>
        </w:tc>
      </w:tr>
      <w:tr>
        <w:trPr>
          <w:trHeight w:val="386"/>
        </w:trPr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9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2.1.</w:t>
            </w:r>
          </w:p>
        </w:tc>
        <w:tc>
          <w:tcPr>
            <w:tcW w:w="3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9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населения Ивнянского района, систем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атически занимающих физической культурой и спортом, в общей численности населения района в возрасте от 3 до 79 лет, процент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КМП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Чел. </w:t>
            </w:r>
          </w:p>
        </w:tc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9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12584</w:t>
            </w:r>
          </w:p>
        </w:tc>
      </w:tr>
    </w:tbl>
    <w:p>
      <w:pPr>
        <w:pStyle w:val="Normal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</w:p>
    <w:p>
      <w:pPr>
        <w:pStyle w:val="179"/>
        <w:numPr>
          <w:numId w:val="6"/>
          <w:ilvl w:val="0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16"/>
          <w:szCs w:val="20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Перечень мероприятий (результатов) комплекса процессных мероприятий 1</w:t>
      </w:r>
      <w:r>
        <w:rPr>
          <w:rFonts w:ascii="Times New Roman" w:hAnsi="Times New Roman" w:cs="Times New Roman"/>
          <w:b/>
          <w:sz w:val="16"/>
          <w:szCs w:val="20"/>
        </w:rPr>
      </w:r>
    </w:p>
    <w:p>
      <w:pPr>
        <w:pStyle w:val="Normal"/>
        <w:spacing w:after="0" w:line="240" w:lineRule="auto"/>
        <w:rPr>
          <w:rFonts w:ascii="Times New Roman" w:hAnsi="Times New Roman" w:cs="Times New Roman"/>
          <w:b/>
          <w:sz w:val="16"/>
          <w:szCs w:val="20"/>
        </w:rPr>
      </w:pPr>
      <w:r>
        <w:rPr>
          <w:rFonts w:ascii="Times New Roman" w:hAnsi="Times New Roman" w:cs="Times New Roman"/>
          <w:b/>
          <w:sz w:val="16"/>
          <w:szCs w:val="20"/>
        </w:rPr>
      </w:r>
    </w:p>
    <w:tbl>
      <w:tblPr>
        <w:tblW w:w="0" w:type="auto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</w:tblPr>
      <w:tblGrid>
        <w:gridCol w:w="516"/>
        <w:gridCol w:w="2273"/>
        <w:gridCol w:w="1431"/>
        <w:gridCol w:w="1258"/>
        <w:gridCol w:w="1033"/>
        <w:gridCol w:w="616"/>
        <w:gridCol w:w="812"/>
        <w:gridCol w:w="709"/>
        <w:gridCol w:w="709"/>
        <w:gridCol w:w="708"/>
        <w:gridCol w:w="709"/>
        <w:gridCol w:w="709"/>
        <w:gridCol w:w="3544"/>
      </w:tblGrid>
      <w:tr>
        <w:trPr>
          <w:trHeight w:val="184"/>
        </w:trPr>
        <w:tc>
          <w:tcPr>
            <w:tcW w:w="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п/п</w:t>
            </w:r>
          </w:p>
        </w:tc>
        <w:tc>
          <w:tcPr>
            <w:tcW w:w="22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ме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роприятия (результата)</w:t>
            </w:r>
          </w:p>
        </w:tc>
        <w:tc>
          <w:tcPr>
            <w:tcW w:w="14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Тип мероприятий (результата)</w:t>
            </w:r>
          </w:p>
        </w:tc>
        <w:tc>
          <w:tcPr>
            <w:tcW w:w="12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Единица измерения (по ОКЕИ)</w:t>
            </w:r>
          </w:p>
        </w:tc>
        <w:tc>
          <w:tcPr>
            <w:tcW w:w="16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Базовое значение</w:t>
            </w:r>
          </w:p>
        </w:tc>
        <w:tc>
          <w:tcPr>
            <w:tcW w:w="435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Значения мероприятия (результата) по годам</w:t>
            </w:r>
          </w:p>
        </w:tc>
        <w:tc>
          <w:tcPr>
            <w:tcW w:w="354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Связь с показателями комплекса процессных мероприятий</w:t>
            </w:r>
          </w:p>
        </w:tc>
      </w:tr>
      <w:tr>
        <w:trPr>
          <w:trHeight w:val="130"/>
        </w:trPr>
        <w:tc>
          <w:tcPr>
            <w:tcW w:w="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22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2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03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значение</w:t>
            </w:r>
          </w:p>
        </w:tc>
        <w:tc>
          <w:tcPr>
            <w:tcW w:w="61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год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2027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2028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2029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2030</w:t>
            </w:r>
          </w:p>
        </w:tc>
        <w:tc>
          <w:tcPr>
            <w:tcW w:w="3544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rPr>
          <w:trHeight w:val="147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</w:t>
            </w:r>
          </w:p>
        </w:tc>
        <w:tc>
          <w:tcPr>
            <w:tcW w:w="2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12</w:t>
            </w:r>
          </w:p>
        </w:tc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13</w:t>
            </w:r>
          </w:p>
        </w:tc>
      </w:tr>
      <w:tr>
        <w:trPr>
          <w:trHeight w:val="197"/>
        </w:trPr>
        <w:tc>
          <w:tcPr>
            <w:tcW w:w="15027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Задача 1. Популяризация физической культуры и спорта, пропаганда здорового образа жизни среди различных категорий населения района.</w:t>
            </w:r>
          </w:p>
        </w:tc>
      </w:tr>
      <w:tr>
        <w:trPr>
          <w:trHeight w:val="90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</w:t>
            </w:r>
          </w:p>
        </w:tc>
        <w:tc>
          <w:tcPr>
            <w:tcW w:w="2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Организованы и проведены мероприятия в рамках направления (подпрограммы) «Раз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витие физической культуры и спорта на территории Ивнянского района»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проведения мероприятия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% (Проц)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100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100</w:t>
            </w:r>
          </w:p>
        </w:tc>
        <w:tc>
          <w:tcPr>
            <w:tcW w:w="35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населения граждан Ивнянского района, систематически занимающихся физической культурой и спортом,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оцент</w:t>
            </w:r>
          </w:p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населения Ивнянского района, систематически занимающих физической культурой и спортом, в общей численности населения района в возрасте от 3 до 79 лет, процент</w:t>
            </w:r>
          </w:p>
        </w:tc>
      </w:tr>
      <w:tr>
        <w:trPr>
          <w:trHeight w:val="135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1.1.</w:t>
            </w:r>
          </w:p>
        </w:tc>
        <w:tc>
          <w:tcPr>
            <w:tcW w:w="10967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рамках мероприятия организованы и проведены мероприятия по направлению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рамках подпрограммы «Развитие физической культуры и спорта на территории Ивнянского района»</w:t>
            </w:r>
          </w:p>
        </w:tc>
        <w:tc>
          <w:tcPr>
            <w:tcW w:w="35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pStyle w:val="179"/>
        <w:spacing w:after="0" w:line="240" w:lineRule="auto"/>
        <w:ind w:left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</w:r>
    </w:p>
    <w:p>
      <w:pPr>
        <w:pStyle w:val="179"/>
        <w:spacing w:after="0" w:line="240" w:lineRule="auto"/>
        <w:ind w:left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</w:r>
    </w:p>
    <w:p>
      <w:pPr>
        <w:pStyle w:val="179"/>
        <w:spacing w:after="0" w:line="240" w:lineRule="auto"/>
        <w:ind w:left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</w:r>
    </w:p>
    <w:p>
      <w:pPr>
        <w:pStyle w:val="179"/>
        <w:spacing w:after="0" w:line="240" w:lineRule="auto"/>
        <w:ind w:left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</w:r>
    </w:p>
    <w:p>
      <w:pPr>
        <w:pStyle w:val="179"/>
        <w:spacing w:after="0" w:line="240" w:lineRule="auto"/>
        <w:ind w:left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</w:r>
    </w:p>
    <w:p>
      <w:pPr>
        <w:pStyle w:val="179"/>
        <w:numPr>
          <w:numId w:val="6"/>
          <w:ilvl w:val="0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Финансовое обеспечение комплекса процессных мероприятий 1</w:t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Normal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</w:r>
    </w:p>
    <w:tbl>
      <w:tblPr>
        <w:tblW w:w="0" w:type="auto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</w:tblPr>
      <w:tblGrid>
        <w:gridCol w:w="5955"/>
        <w:gridCol w:w="1701"/>
        <w:gridCol w:w="850"/>
        <w:gridCol w:w="851"/>
        <w:gridCol w:w="850"/>
        <w:gridCol w:w="851"/>
        <w:gridCol w:w="850"/>
        <w:gridCol w:w="851"/>
        <w:gridCol w:w="2268"/>
      </w:tblGrid>
      <w:tr>
        <w:trPr>
          <w:trHeight w:val="77"/>
          <w:tblHeader/>
        </w:trPr>
        <w:tc>
          <w:tcPr>
            <w:tcW w:w="59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мероприятия (результата) / источник финансового обеспечения</w:t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Код бюджетной классифик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ации</w:t>
            </w:r>
          </w:p>
        </w:tc>
        <w:tc>
          <w:tcPr>
            <w:tcW w:w="737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-104" w:right="-103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Объем финансового обеспечения по годам реализации, тыс. руб</w:t>
            </w:r>
          </w:p>
        </w:tc>
      </w:tr>
      <w:tr>
        <w:trPr>
          <w:trHeight w:val="106"/>
          <w:tblHeader/>
        </w:trPr>
        <w:tc>
          <w:tcPr>
            <w:tcW w:w="59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2029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2030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Всего</w:t>
            </w:r>
          </w:p>
        </w:tc>
      </w:tr>
      <w:tr>
        <w:trPr>
          <w:trHeight w:val="119"/>
        </w:trPr>
        <w:tc>
          <w:tcPr>
            <w:tcW w:w="5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</w:t>
            </w:r>
          </w:p>
        </w:tc>
      </w:tr>
      <w:tr>
        <w:trPr>
          <w:trHeight w:val="119"/>
        </w:trPr>
        <w:tc>
          <w:tcPr>
            <w:tcW w:w="5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Комплекс процессных мероприятий «Создание условий для развития физической культуры и спорта, пропаганда здорового образа жизни среди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различных категорий населения района» (всего), в том числе:</w:t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06 4 01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3300,0</w:t>
            </w:r>
          </w:p>
        </w:tc>
      </w:tr>
      <w:tr>
        <w:trPr>
          <w:trHeight w:val="119"/>
        </w:trPr>
        <w:tc>
          <w:tcPr>
            <w:tcW w:w="5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Местный бюджет (всего), из них: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3300,0</w:t>
            </w:r>
          </w:p>
        </w:tc>
      </w:tr>
      <w:tr>
        <w:trPr>
          <w:trHeight w:val="119"/>
        </w:trPr>
        <w:tc>
          <w:tcPr>
            <w:tcW w:w="5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340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119"/>
        </w:trPr>
        <w:tc>
          <w:tcPr>
            <w:tcW w:w="5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340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межбюджетные трансферты из областного бюджета (справочно)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119"/>
        </w:trPr>
        <w:tc>
          <w:tcPr>
            <w:tcW w:w="5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340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местный бюджет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3300,0</w:t>
            </w:r>
          </w:p>
        </w:tc>
      </w:tr>
      <w:tr>
        <w:trPr>
          <w:trHeight w:val="119"/>
        </w:trPr>
        <w:tc>
          <w:tcPr>
            <w:tcW w:w="5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Внебюджетные источники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119"/>
        </w:trPr>
        <w:tc>
          <w:tcPr>
            <w:tcW w:w="5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«Организованны и проведены мероприятия в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мках подпрограммы «Развитие физической культуры и спорта на территории Ивнянского района»</w:t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eastAsia="en-US"/>
              </w:rPr>
              <w:t xml:space="preserve">110 28 91</w:t>
            </w:r>
          </w:p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eastAsia="en-US"/>
              </w:rPr>
              <w:t xml:space="preserve">06 4 01</w:t>
            </w:r>
          </w:p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20"/>
                <w:lang w:eastAsia="en-US"/>
              </w:rPr>
              <w:t xml:space="preserve">ХХХХХ ХХХ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3300,0</w:t>
            </w:r>
          </w:p>
        </w:tc>
      </w:tr>
      <w:tr>
        <w:trPr>
          <w:trHeight w:val="119"/>
        </w:trPr>
        <w:tc>
          <w:tcPr>
            <w:tcW w:w="5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Местный бюджет (всего), из них: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3300,0</w:t>
            </w:r>
          </w:p>
        </w:tc>
      </w:tr>
      <w:tr>
        <w:trPr>
          <w:trHeight w:val="119"/>
        </w:trPr>
        <w:tc>
          <w:tcPr>
            <w:tcW w:w="5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340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межбюджетные трансферты из федер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ального бюджета (справочно)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119"/>
        </w:trPr>
        <w:tc>
          <w:tcPr>
            <w:tcW w:w="5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340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межбюджетные трансферты из областного бюджета (справочно)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119"/>
        </w:trPr>
        <w:tc>
          <w:tcPr>
            <w:tcW w:w="5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340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местный бюджет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550,0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3300,0</w:t>
            </w:r>
          </w:p>
        </w:tc>
      </w:tr>
      <w:tr>
        <w:trPr>
          <w:trHeight w:val="119"/>
        </w:trPr>
        <w:tc>
          <w:tcPr>
            <w:tcW w:w="5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119"/>
        </w:trPr>
        <w:tc>
          <w:tcPr>
            <w:tcW w:w="5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ераспределенный резерв (местный бюджет)</w:t>
            </w:r>
          </w:p>
        </w:tc>
        <w:tc>
          <w:tcPr>
            <w:tcW w:w="1701" w:type="dxa"/>
            <w:tcBorders>
              <w:left w:val="single" w:color="000000" w:sz="4" w:space="0"/>
              <w:bottom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</w:tbl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</w:p>
    <w:p>
      <w:pPr>
        <w:pStyle w:val="Normal"/>
        <w:spacing w:after="0" w:line="240" w:lineRule="auto"/>
        <w:ind w:left="1077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b/>
          <w:sz w:val="26"/>
          <w:szCs w:val="26"/>
        </w:rPr>
        <w:t xml:space="preserve">Приложение</w:t>
      </w:r>
    </w:p>
    <w:p>
      <w:pPr>
        <w:pStyle w:val="Normal"/>
        <w:spacing w:after="0"/>
        <w:ind w:left="10773" w:right="11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 паспорту комплекса процессных мероприятий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«Создание условий для развития физической культуры и спорта,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пропаганда здорового образа жизни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среди разли</w:t>
      </w:r>
      <w:r>
        <w:rPr>
          <w:rFonts w:ascii="Times New Roman" w:hAnsi="Times New Roman" w:cs="Times New Roman"/>
          <w:b/>
          <w:sz w:val="26"/>
          <w:szCs w:val="26"/>
        </w:rPr>
        <w:t xml:space="preserve">чных категорий населения </w:t>
      </w:r>
      <w:r>
        <w:rPr>
          <w:rFonts w:ascii="Times New Roman" w:hAnsi="Times New Roman" w:cs="Times New Roman"/>
          <w:b/>
          <w:sz w:val="26"/>
          <w:szCs w:val="26"/>
        </w:rPr>
        <w:t xml:space="preserve">района</w:t>
      </w:r>
      <w:r>
        <w:rPr>
          <w:rFonts w:ascii="Times New Roman" w:hAnsi="Times New Roman" w:cs="Times New Roman"/>
          <w:b/>
          <w:sz w:val="26"/>
          <w:szCs w:val="26"/>
        </w:rPr>
        <w:t xml:space="preserve">»</w:t>
      </w:r>
    </w:p>
    <w:p>
      <w:pPr>
        <w:pStyle w:val="Normal"/>
        <w:spacing w:after="0"/>
        <w:ind w:right="111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</w:p>
    <w:p>
      <w:pPr>
        <w:pStyle w:val="179"/>
        <w:numPr>
          <w:numId w:val="6"/>
          <w:ilvl w:val="0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16"/>
          <w:szCs w:val="20"/>
        </w:rPr>
      </w:pPr>
      <w:r>
        <w:rPr>
          <w:rFonts w:ascii="Times New Roman" w:hAnsi="Times New Roman" w:eastAsia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</w:rPr>
        <w:t xml:space="preserve">План реализации комплекса процессных мероприятий 1</w:t>
      </w:r>
      <w:r>
        <w:rPr>
          <w:rFonts w:ascii="Times New Roman" w:hAnsi="Times New Roman" w:cs="Times New Roman"/>
          <w:b/>
          <w:sz w:val="16"/>
          <w:szCs w:val="20"/>
        </w:rPr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20"/>
        </w:rPr>
      </w:pPr>
      <w:r>
        <w:rPr>
          <w:rFonts w:ascii="Times New Roman" w:hAnsi="Times New Roman" w:cs="Times New Roman"/>
          <w:b/>
          <w:sz w:val="16"/>
          <w:szCs w:val="20"/>
        </w:rPr>
      </w:r>
    </w:p>
    <w:tbl>
      <w:tblPr>
        <w:tblW w:w="0" w:type="auto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</w:tblPr>
      <w:tblGrid>
        <w:gridCol w:w="5388"/>
        <w:gridCol w:w="1417"/>
        <w:gridCol w:w="3119"/>
        <w:gridCol w:w="5103"/>
      </w:tblGrid>
      <w:tr>
        <w:trPr>
          <w:trHeight w:val="646"/>
          <w:tblHeader/>
        </w:trPr>
        <w:tc>
          <w:tcPr>
            <w:tcW w:w="5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Задача, мероприятие (результат) /</w:t>
            </w:r>
          </w:p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контрольная точка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Дата наступления контрольной точки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Ответственный исполнитель</w:t>
            </w:r>
          </w:p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(Ф.И.О., должность, наименование ОИВ субъекта Российской Федерации (местной админ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истрации муниципального образования), иного государственного (муниципального) органа, организации)</w:t>
            </w:r>
            <w:r>
              <w:rPr>
                <w:rStyle w:val="UserStyle_14"/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Вид подтверждающего документа</w:t>
            </w:r>
          </w:p>
        </w:tc>
      </w:tr>
      <w:tr>
        <w:trPr>
          <w:trHeight w:val="119"/>
        </w:trPr>
        <w:tc>
          <w:tcPr>
            <w:tcW w:w="5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</w:t>
            </w:r>
          </w:p>
        </w:tc>
        <w:tc>
          <w:tcPr>
            <w:tcW w:w="5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</w:t>
            </w:r>
          </w:p>
        </w:tc>
      </w:tr>
      <w:tr>
        <w:trPr>
          <w:trHeight w:val="220"/>
        </w:trPr>
        <w:tc>
          <w:tcPr>
            <w:tcW w:w="150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Задача 1. Популяризация физической культуры и спорта, пропаганда здорового образа жизни среди различных категорий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селения района.</w:t>
            </w:r>
          </w:p>
        </w:tc>
      </w:tr>
      <w:tr>
        <w:trPr>
          <w:trHeight w:val="119"/>
        </w:trPr>
        <w:tc>
          <w:tcPr>
            <w:tcW w:w="5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приятие (результат) Организован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 и проведены мероприятия в рамках подпрограммы «Создание условий для развития физической культуры и спорта, пропаганда здорового образа жизни среди различных категорий населения района.» в 2025 году реал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изации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X</w:t>
            </w:r>
          </w:p>
        </w:tc>
        <w:tc>
          <w:tcPr>
            <w:tcW w:w="31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МБУ «ЦФКИС», 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директор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а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Дудко Юлия Юрьевна</w:t>
            </w:r>
          </w:p>
        </w:tc>
        <w:tc>
          <w:tcPr>
            <w:tcW w:w="51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Отчет по охвату численности, Областной рейтинг</w:t>
            </w:r>
          </w:p>
        </w:tc>
      </w:tr>
      <w:tr>
        <w:trPr>
          <w:trHeight w:val="119"/>
        </w:trPr>
        <w:tc>
          <w:tcPr>
            <w:tcW w:w="5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1.1 Закупка материальной базы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.2025</w:t>
            </w:r>
          </w:p>
        </w:tc>
        <w:tc>
          <w:tcPr>
            <w:tcW w:w="3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5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1.2. Формирование списка награждённых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.2025</w:t>
            </w:r>
          </w:p>
        </w:tc>
        <w:tc>
          <w:tcPr>
            <w:tcW w:w="3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5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очка 1.3. Проведение мероприятия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2025</w:t>
            </w:r>
          </w:p>
        </w:tc>
        <w:tc>
          <w:tcPr>
            <w:tcW w:w="3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5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приятие (результат) Организован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 и проведены мероприятия в рамках подпрограммы Организованны и проведены мероприятия в рамках подпрограммы «Создание условий для развития физической культуры и спорта, пропа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ганда здорового образа жизни среди различных категорий населения района» в 2026 году реализации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</w:t>
            </w:r>
          </w:p>
        </w:tc>
        <w:tc>
          <w:tcPr>
            <w:tcW w:w="3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5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1.4. Закупка материальной базы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24.11.2026</w:t>
            </w:r>
          </w:p>
        </w:tc>
        <w:tc>
          <w:tcPr>
            <w:tcW w:w="3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5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1.5. Формирование списка награждённых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24.11.2026</w:t>
            </w:r>
          </w:p>
        </w:tc>
        <w:tc>
          <w:tcPr>
            <w:tcW w:w="3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5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1.6.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мероприятия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3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</w:r>
          </w:p>
        </w:tc>
        <w:tc>
          <w:tcPr>
            <w:tcW w:w="5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5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приятие (результат) Организован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 и проведены мероприятия в рамках подпрограммы Организованны и проведены мероприятия в рамках подпрограммы «Создание условий для развития физической культуры и спорта, пропаганда здо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рового образа жизни среди разли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чных категорий населения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в 2027 году реализации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</w:t>
            </w:r>
          </w:p>
        </w:tc>
        <w:tc>
          <w:tcPr>
            <w:tcW w:w="3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5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1.7. Закупка материальной базы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24.11.2027</w:t>
            </w:r>
          </w:p>
        </w:tc>
        <w:tc>
          <w:tcPr>
            <w:tcW w:w="3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5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1.8. Формирование списка награждённых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24.11.2027</w:t>
            </w:r>
          </w:p>
        </w:tc>
        <w:tc>
          <w:tcPr>
            <w:tcW w:w="3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5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1.9. Проведен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ие мероприятия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2027</w:t>
            </w:r>
          </w:p>
        </w:tc>
        <w:tc>
          <w:tcPr>
            <w:tcW w:w="31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51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pStyle w:val="Normal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</w:p>
    <w:p>
      <w:pPr>
        <w:pStyle w:val="Normal"/>
        <w:widowControl w:val="off"/>
        <w:numPr>
          <w:numId w:val="6"/>
          <w:ilvl w:val="3"/>
        </w:numPr>
        <w:tabs>
          <w:tab w:val="clear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eastAsia="Times New Roman" w:cs="Times New Roman"/>
          <w:b/>
          <w:color w:val="000000"/>
          <w:sz w:val="27"/>
          <w:szCs w:val="27"/>
        </w:rPr>
        <w:br w:type="page" w:clear="all"/>
      </w:r>
      <w:r>
        <w:rPr>
          <w:rFonts w:ascii="Times New Roman" w:hAnsi="Times New Roman" w:cs="Times New Roman"/>
          <w:b/>
          <w:sz w:val="27"/>
          <w:szCs w:val="27"/>
        </w:rPr>
        <w:t xml:space="preserve">П</w:t>
      </w:r>
      <w:r>
        <w:rPr>
          <w:rFonts w:ascii="Times New Roman" w:hAnsi="Times New Roman" w:cs="Times New Roman"/>
          <w:b/>
          <w:sz w:val="27"/>
          <w:szCs w:val="27"/>
        </w:rPr>
        <w:t xml:space="preserve">аспорт </w:t>
      </w:r>
      <w:r>
        <w:rPr>
          <w:rFonts w:ascii="Times New Roman" w:hAnsi="Times New Roman" w:cs="Times New Roman"/>
          <w:b/>
          <w:sz w:val="27"/>
          <w:szCs w:val="27"/>
        </w:rPr>
        <w:t xml:space="preserve">комплекса процессных мероприятий</w:t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«Обеспечение деятельности Физкультурно-оздоровительного комплекса п. Ивня»</w:t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(далее – комплекс процессных мероприятий 2)</w:t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Normal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179"/>
        <w:numPr>
          <w:numId w:val="7"/>
          <w:ilvl w:val="0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Общие положения</w:t>
      </w:r>
      <w:r>
        <w:rPr>
          <w:rFonts w:ascii="Times New Roman" w:hAnsi="Times New Roman" w:cs="Times New Roman"/>
          <w:b/>
          <w:sz w:val="16"/>
          <w:szCs w:val="16"/>
        </w:rPr>
      </w:r>
    </w:p>
    <w:p>
      <w:pPr>
        <w:pStyle w:val="Normal"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</w:r>
    </w:p>
    <w:tbl>
      <w:tblPr>
        <w:tblW w:w="15310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</w:tblPr>
      <w:tblGrid>
        <w:gridCol w:w="3403"/>
        <w:gridCol w:w="11907"/>
      </w:tblGrid>
      <w:tr>
        <w:trPr>
          <w:trHeight w:val="133"/>
        </w:trPr>
        <w:tc>
          <w:tcPr>
            <w:tcW w:w="3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Ответственный орган: </w:t>
            </w:r>
          </w:p>
        </w:tc>
        <w:tc>
          <w:tcPr>
            <w:tcW w:w="1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Наименование ОИВ: МБУ «ЦФ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КИС», 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директор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а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Дудко Юлия Юрьевна</w:t>
            </w:r>
          </w:p>
        </w:tc>
      </w:tr>
      <w:tr>
        <w:trPr>
          <w:trHeight w:val="80"/>
        </w:trPr>
        <w:tc>
          <w:tcPr>
            <w:tcW w:w="3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Связь с муниципальной программой:</w:t>
            </w:r>
          </w:p>
        </w:tc>
        <w:tc>
          <w:tcPr>
            <w:tcW w:w="1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Муниципальная программа «Развитие физической культуры и спорта на территории Ивнянского района»</w:t>
            </w:r>
          </w:p>
        </w:tc>
      </w:tr>
    </w:tbl>
    <w:p>
      <w:pPr>
        <w:pStyle w:val="Normal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</w:p>
    <w:p>
      <w:pPr>
        <w:pStyle w:val="179"/>
        <w:numPr>
          <w:numId w:val="7"/>
          <w:ilvl w:val="0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16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Показатели комплекса процессных мероприятий 2</w:t>
      </w:r>
      <w:r>
        <w:rPr>
          <w:rFonts w:ascii="Times New Roman" w:hAnsi="Times New Roman" w:cs="Times New Roman"/>
          <w:b/>
          <w:sz w:val="16"/>
          <w:szCs w:val="27"/>
        </w:rPr>
      </w:r>
    </w:p>
    <w:p>
      <w:pPr>
        <w:pStyle w:val="179"/>
        <w:spacing w:after="0" w:line="240" w:lineRule="auto"/>
        <w:ind w:left="0"/>
        <w:rPr>
          <w:rFonts w:ascii="Times New Roman" w:hAnsi="Times New Roman" w:cs="Times New Roman"/>
          <w:b/>
          <w:sz w:val="16"/>
          <w:szCs w:val="27"/>
        </w:rPr>
      </w:pPr>
      <w:r>
        <w:rPr>
          <w:rFonts w:ascii="Times New Roman" w:hAnsi="Times New Roman" w:cs="Times New Roman"/>
          <w:b/>
          <w:sz w:val="16"/>
          <w:szCs w:val="27"/>
        </w:rPr>
      </w:r>
    </w:p>
    <w:tbl>
      <w:tblPr>
        <w:tblW w:w="15310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</w:tblPr>
      <w:tblGrid>
        <w:gridCol w:w="568"/>
        <w:gridCol w:w="1559"/>
        <w:gridCol w:w="1134"/>
        <w:gridCol w:w="1417"/>
        <w:gridCol w:w="1298"/>
        <w:gridCol w:w="829"/>
        <w:gridCol w:w="709"/>
        <w:gridCol w:w="850"/>
        <w:gridCol w:w="851"/>
        <w:gridCol w:w="850"/>
        <w:gridCol w:w="851"/>
        <w:gridCol w:w="850"/>
        <w:gridCol w:w="850"/>
        <w:gridCol w:w="1701"/>
        <w:gridCol w:w="993"/>
      </w:tblGrid>
      <w:tr>
        <w:trPr>
          <w:trHeight w:val="286"/>
        </w:trPr>
        <w:tc>
          <w:tcPr>
            <w:tcW w:w="5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</w:t>
            </w:r>
          </w:p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п/п</w:t>
            </w: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показател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я/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</w:t>
            </w:r>
          </w:p>
        </w:tc>
        <w:tc>
          <w:tcPr>
            <w:tcW w:w="113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Признак возрастания/ убывания</w:t>
            </w:r>
          </w:p>
        </w:tc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Уровень показателя</w:t>
            </w:r>
          </w:p>
        </w:tc>
        <w:tc>
          <w:tcPr>
            <w:tcW w:w="12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Единица измерения</w:t>
            </w:r>
          </w:p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(по ОКЕИ)</w:t>
            </w:r>
          </w:p>
        </w:tc>
        <w:tc>
          <w:tcPr>
            <w:tcW w:w="15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Базовое значение</w:t>
            </w:r>
          </w:p>
        </w:tc>
        <w:tc>
          <w:tcPr>
            <w:tcW w:w="510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Значение показателей по годам</w:t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Ответственный за достижение показателя</w:t>
            </w:r>
          </w:p>
        </w:tc>
        <w:tc>
          <w:tcPr>
            <w:tcW w:w="9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Информационная система</w:t>
            </w:r>
          </w:p>
        </w:tc>
      </w:tr>
      <w:tr>
        <w:trPr>
          <w:trHeight w:val="77"/>
        </w:trPr>
        <w:tc>
          <w:tcPr>
            <w:tcW w:w="5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134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2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82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значение</w:t>
            </w:r>
          </w:p>
        </w:tc>
        <w:tc>
          <w:tcPr>
            <w:tcW w:w="70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год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2030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rPr>
          <w:trHeight w:val="144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13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14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15</w:t>
            </w:r>
          </w:p>
        </w:tc>
      </w:tr>
      <w:tr>
        <w:trPr>
          <w:trHeight w:val="243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</w:t>
            </w:r>
          </w:p>
        </w:tc>
        <w:tc>
          <w:tcPr>
            <w:tcW w:w="14742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«Исполнение муниципальных функций Физкультурно-оздоровительного комплекса в соответствии с действующим законодательством»</w:t>
            </w:r>
          </w:p>
        </w:tc>
      </w:tr>
      <w:tr>
        <w:trPr>
          <w:trHeight w:val="428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1.1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платных услуг населению Ивнянского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оказанных Физкультурно-оздоровительным 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мплексом п. Ивн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Прогрессирующий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КМП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Тыс.руб.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120,00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123,60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127,31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131,13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135,05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139,10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143,27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МКУ «ЦФКИС»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</w:tr>
    </w:tbl>
    <w:p>
      <w:pPr>
        <w:pStyle w:val="179"/>
        <w:pageBreakBefore/>
        <w:numPr>
          <w:numId w:val="7"/>
          <w:ilvl w:val="0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16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Помесячный план достижения показателей комплекса процессных мероприятий 2 в 2025 году</w:t>
      </w:r>
      <w:r>
        <w:rPr>
          <w:rFonts w:ascii="Times New Roman" w:hAnsi="Times New Roman" w:cs="Times New Roman"/>
          <w:b/>
          <w:sz w:val="16"/>
          <w:szCs w:val="27"/>
        </w:rPr>
      </w:r>
    </w:p>
    <w:p>
      <w:pPr>
        <w:pStyle w:val="179"/>
        <w:spacing w:after="0" w:line="240" w:lineRule="auto"/>
        <w:ind w:left="0"/>
        <w:rPr>
          <w:rFonts w:ascii="Times New Roman" w:hAnsi="Times New Roman" w:cs="Times New Roman"/>
          <w:b/>
          <w:sz w:val="16"/>
          <w:szCs w:val="27"/>
        </w:rPr>
      </w:pPr>
      <w:r>
        <w:rPr>
          <w:rFonts w:ascii="Times New Roman" w:hAnsi="Times New Roman" w:cs="Times New Roman"/>
          <w:b/>
          <w:sz w:val="16"/>
          <w:szCs w:val="27"/>
        </w:rPr>
      </w:r>
    </w:p>
    <w:tbl>
      <w:tblPr>
        <w:tblW w:w="4900" w:type="pct"/>
        <w:tblInd w:w="-136" w:type="dxa"/>
        <w:tblLayout w:type="fixed"/>
        <w:tblCellMar>
          <w:left w:w="6" w:type="dxa"/>
          <w:top w:w="0" w:type="dxa"/>
          <w:right w:w="6" w:type="dxa"/>
          <w:bottom w:w="0" w:type="dxa"/>
        </w:tblCellMar>
      </w:tblPr>
      <w:tblGrid>
        <w:gridCol w:w="538"/>
        <w:gridCol w:w="4618"/>
        <w:gridCol w:w="1066"/>
        <w:gridCol w:w="1554"/>
        <w:gridCol w:w="526"/>
        <w:gridCol w:w="527"/>
        <w:gridCol w:w="526"/>
        <w:gridCol w:w="527"/>
        <w:gridCol w:w="526"/>
        <w:gridCol w:w="526"/>
        <w:gridCol w:w="527"/>
        <w:gridCol w:w="526"/>
        <w:gridCol w:w="527"/>
        <w:gridCol w:w="526"/>
        <w:gridCol w:w="538"/>
        <w:gridCol w:w="1298"/>
      </w:tblGrid>
      <w:tr>
        <w:trPr>
          <w:trHeight w:val="187"/>
          <w:tblHeader/>
        </w:trPr>
        <w:tc>
          <w:tcPr>
            <w:tcW w:w="5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п/п</w:t>
            </w:r>
          </w:p>
        </w:tc>
        <w:tc>
          <w:tcPr>
            <w:tcW w:w="45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Показатели комплекса процессных мероприятий</w:t>
            </w:r>
          </w:p>
        </w:tc>
        <w:tc>
          <w:tcPr>
            <w:tcW w:w="10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Уров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ень показателя</w:t>
            </w:r>
          </w:p>
        </w:tc>
        <w:tc>
          <w:tcPr>
            <w:tcW w:w="15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(по ОКЕИ)</w:t>
            </w:r>
          </w:p>
        </w:tc>
        <w:tc>
          <w:tcPr>
            <w:tcW w:w="569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Плановые значения по месяцам</w:t>
            </w:r>
          </w:p>
        </w:tc>
        <w:tc>
          <w:tcPr>
            <w:tcW w:w="12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 конец 2025года</w:t>
            </w:r>
          </w:p>
        </w:tc>
      </w:tr>
      <w:tr>
        <w:trPr>
          <w:trHeight w:val="77"/>
          <w:tblHeader/>
        </w:trPr>
        <w:tc>
          <w:tcPr>
            <w:tcW w:w="5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45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5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янв.</w:t>
            </w: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фев.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март</w:t>
            </w: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апр.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май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июнь</w:t>
            </w: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июль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авг.</w:t>
            </w: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сен.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окт.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ноя.</w:t>
            </w:r>
          </w:p>
        </w:tc>
        <w:tc>
          <w:tcPr>
            <w:tcW w:w="12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rPr>
          <w:trHeight w:val="64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</w:t>
            </w:r>
          </w:p>
        </w:tc>
        <w:tc>
          <w:tcPr>
            <w:tcW w:w="14059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ind w:left="37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«Исполнение муниципальных функций Физкультурно-оздоровительного комплекса в соответствии с дейс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твующим законодательством»</w:t>
            </w:r>
          </w:p>
        </w:tc>
      </w:tr>
      <w:tr>
        <w:trPr>
          <w:trHeight w:val="202"/>
        </w:trPr>
        <w:tc>
          <w:tcPr>
            <w:tcW w:w="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1.1.</w:t>
            </w:r>
          </w:p>
        </w:tc>
        <w:tc>
          <w:tcPr>
            <w:tcW w:w="4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9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платных услуг населению Ивнянского района оказанных Физкультурно-оздоровительным комплексом п. Ивне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КМП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Тыс.руб.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</w:t>
            </w: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1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123,60</w:t>
            </w:r>
          </w:p>
        </w:tc>
      </w:tr>
    </w:tbl>
    <w:p>
      <w:pPr>
        <w:pStyle w:val="Normal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</w:p>
    <w:p>
      <w:pPr>
        <w:pStyle w:val="179"/>
        <w:numPr>
          <w:numId w:val="7"/>
          <w:ilvl w:val="0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16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Перечень мероприятий (результатов) комплекса процессных мероприятий 2</w:t>
      </w:r>
      <w:r>
        <w:rPr>
          <w:rFonts w:ascii="Times New Roman" w:hAnsi="Times New Roman" w:cs="Times New Roman"/>
          <w:b/>
          <w:sz w:val="16"/>
          <w:szCs w:val="27"/>
        </w:rPr>
      </w:r>
    </w:p>
    <w:p>
      <w:pPr>
        <w:pStyle w:val="179"/>
        <w:spacing w:after="0" w:line="240" w:lineRule="auto"/>
        <w:ind w:left="0"/>
        <w:rPr>
          <w:rFonts w:ascii="Times New Roman" w:hAnsi="Times New Roman" w:cs="Times New Roman"/>
          <w:b/>
          <w:sz w:val="16"/>
          <w:szCs w:val="27"/>
        </w:rPr>
      </w:pPr>
      <w:r>
        <w:rPr>
          <w:rFonts w:ascii="Times New Roman" w:hAnsi="Times New Roman" w:cs="Times New Roman"/>
          <w:b/>
          <w:sz w:val="16"/>
          <w:szCs w:val="27"/>
        </w:rPr>
      </w:r>
    </w:p>
    <w:tbl>
      <w:tblPr>
        <w:tblW w:w="0" w:type="auto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</w:tblPr>
      <w:tblGrid>
        <w:gridCol w:w="601"/>
        <w:gridCol w:w="2750"/>
        <w:gridCol w:w="1777"/>
        <w:gridCol w:w="1189"/>
        <w:gridCol w:w="1033"/>
        <w:gridCol w:w="616"/>
        <w:gridCol w:w="616"/>
        <w:gridCol w:w="616"/>
        <w:gridCol w:w="616"/>
        <w:gridCol w:w="616"/>
        <w:gridCol w:w="616"/>
        <w:gridCol w:w="616"/>
        <w:gridCol w:w="3027"/>
        <w:gridCol w:w="10"/>
      </w:tblGrid>
      <w:tr>
        <w:trPr>
          <w:trHeight w:val="184"/>
        </w:trPr>
        <w:tc>
          <w:tcPr>
            <w:tcW w:w="6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п/п</w:t>
            </w:r>
          </w:p>
        </w:tc>
        <w:tc>
          <w:tcPr>
            <w:tcW w:w="27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мероприятия (результата)</w:t>
            </w:r>
          </w:p>
        </w:tc>
        <w:tc>
          <w:tcPr>
            <w:tcW w:w="17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Тип мероприятий (результата)</w:t>
            </w:r>
          </w:p>
        </w:tc>
        <w:tc>
          <w:tcPr>
            <w:tcW w:w="11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Единица измерения (по ОКЕИ)</w:t>
            </w:r>
          </w:p>
        </w:tc>
        <w:tc>
          <w:tcPr>
            <w:tcW w:w="16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Базовое значение</w:t>
            </w:r>
          </w:p>
        </w:tc>
        <w:tc>
          <w:tcPr>
            <w:tcW w:w="36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Значения мероприятия (результата) по годам</w:t>
            </w:r>
          </w:p>
        </w:tc>
        <w:tc>
          <w:tcPr>
            <w:tcW w:w="30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Связь с показателями комплекса процессных мероприятий</w:t>
            </w:r>
          </w:p>
        </w:tc>
      </w:tr>
      <w:tr>
        <w:trPr>
          <w:trHeight w:val="130"/>
        </w:trPr>
        <w:tc>
          <w:tcPr>
            <w:tcW w:w="6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2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7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03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значение</w:t>
            </w:r>
          </w:p>
        </w:tc>
        <w:tc>
          <w:tcPr>
            <w:tcW w:w="61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год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2026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2027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2028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2029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2030</w:t>
            </w:r>
          </w:p>
        </w:tc>
        <w:tc>
          <w:tcPr>
            <w:tcW w:w="302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rPr>
          <w:trHeight w:val="147"/>
        </w:trPr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</w:t>
            </w:r>
          </w:p>
        </w:tc>
        <w:tc>
          <w:tcPr>
            <w:tcW w:w="2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12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13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14</w:t>
            </w:r>
          </w:p>
        </w:tc>
      </w:tr>
      <w:tr>
        <w:trPr>
          <w:trHeight w:val="197"/>
        </w:trPr>
        <w:tc>
          <w:tcPr>
            <w:tcW w:w="1469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«Исполнение муниципальных функций Физкультурно-оздоровительного комплекса в соответствии с действующим законодательством»</w:t>
            </w:r>
          </w:p>
        </w:tc>
      </w:tr>
      <w:tr>
        <w:trPr>
          <w:trHeight w:val="90"/>
        </w:trPr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</w:t>
            </w:r>
          </w:p>
        </w:tc>
        <w:tc>
          <w:tcPr>
            <w:tcW w:w="2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«Обеспечена деятельность и функционирование ФОК п. Ивне»</w:t>
            </w:r>
          </w:p>
        </w:tc>
        <w:tc>
          <w:tcPr>
            <w:tcW w:w="1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ществление текущей деятельности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Единиц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</w:p>
        </w:tc>
        <w:tc>
          <w:tcPr>
            <w:tcW w:w="3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платных услуг населению Ивнянского района оказанных Физкультурно-оздоровительным комплексом п. Ивня</w:t>
            </w:r>
          </w:p>
        </w:tc>
      </w:tr>
      <w:tr>
        <w:trPr>
          <w:trHeight w:val="198"/>
        </w:trPr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088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материального обеспечения Физкультурно-оздоровительного комплекса п. Ивня,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включая фонд оплаты труда, эксплуатацию и текущий ремонт, оплату коммунальных услуг и иных хозяйственных расходов.  </w:t>
            </w:r>
          </w:p>
        </w:tc>
      </w:tr>
    </w:tbl>
    <w:p>
      <w:pPr>
        <w:pStyle w:val="179"/>
        <w:pageBreakBefore/>
        <w:numPr>
          <w:numId w:val="7"/>
          <w:ilvl w:val="0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16"/>
          <w:szCs w:val="20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Финансовое обеспечение комплекса процессных мероприятий 2</w:t>
      </w:r>
      <w:r>
        <w:rPr>
          <w:rFonts w:ascii="Times New Roman" w:hAnsi="Times New Roman" w:cs="Times New Roman"/>
          <w:b/>
          <w:sz w:val="16"/>
          <w:szCs w:val="20"/>
        </w:rPr>
      </w:r>
    </w:p>
    <w:p>
      <w:pPr>
        <w:pStyle w:val="Normal"/>
        <w:spacing w:after="0" w:line="240" w:lineRule="auto"/>
        <w:rPr>
          <w:rFonts w:ascii="Times New Roman" w:hAnsi="Times New Roman" w:cs="Times New Roman"/>
          <w:b/>
          <w:sz w:val="16"/>
          <w:szCs w:val="20"/>
        </w:rPr>
      </w:pPr>
      <w:r>
        <w:rPr>
          <w:rFonts w:ascii="Times New Roman" w:hAnsi="Times New Roman" w:cs="Times New Roman"/>
          <w:b/>
          <w:sz w:val="16"/>
          <w:szCs w:val="20"/>
        </w:rPr>
      </w:r>
    </w:p>
    <w:tbl>
      <w:tblPr>
        <w:tblW w:w="0" w:type="auto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</w:tblPr>
      <w:tblGrid>
        <w:gridCol w:w="5812"/>
        <w:gridCol w:w="1701"/>
        <w:gridCol w:w="993"/>
        <w:gridCol w:w="992"/>
        <w:gridCol w:w="992"/>
        <w:gridCol w:w="992"/>
        <w:gridCol w:w="993"/>
        <w:gridCol w:w="992"/>
        <w:gridCol w:w="1212"/>
      </w:tblGrid>
      <w:tr>
        <w:trPr>
          <w:trHeight w:val="255"/>
          <w:tblHeader/>
        </w:trPr>
        <w:tc>
          <w:tcPr>
            <w:tcW w:w="58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мероприятия (результата) /</w:t>
            </w:r>
          </w:p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источник финансового обеспечения</w:t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Код бю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джетной классификации </w:t>
            </w:r>
          </w:p>
        </w:tc>
        <w:tc>
          <w:tcPr>
            <w:tcW w:w="716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Объем финансового обеспечения</w:t>
            </w:r>
          </w:p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 годам реализации, тыс. рублей</w:t>
            </w:r>
          </w:p>
        </w:tc>
      </w:tr>
      <w:tr>
        <w:trPr>
          <w:trHeight w:val="106"/>
          <w:tblHeader/>
        </w:trPr>
        <w:tc>
          <w:tcPr>
            <w:tcW w:w="58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2028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2030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Всего</w:t>
            </w:r>
          </w:p>
        </w:tc>
      </w:tr>
      <w:tr>
        <w:trPr>
          <w:trHeight w:val="119"/>
        </w:trPr>
        <w:tc>
          <w:tcPr>
            <w:tcW w:w="5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</w:t>
            </w:r>
          </w:p>
        </w:tc>
      </w:tr>
      <w:tr>
        <w:trPr>
          <w:trHeight w:val="119"/>
        </w:trPr>
        <w:tc>
          <w:tcPr>
            <w:tcW w:w="5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Комплекс процессных мероприятий «Обеспечение деятельности Физкультурно-оздоровительного комплекса п. Ивня» (все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го), в том числе:</w:t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06 4 02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47964,7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11835,0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11973,0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12451,9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12950,0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13468,0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110642,6</w:t>
            </w:r>
          </w:p>
        </w:tc>
      </w:tr>
      <w:tr>
        <w:trPr>
          <w:trHeight w:val="119"/>
        </w:trPr>
        <w:tc>
          <w:tcPr>
            <w:tcW w:w="5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Местный бюджет (всего), из них: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47964,7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11835,0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11973,0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12451,9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12950,0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13468,0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110642,6</w:t>
            </w:r>
          </w:p>
        </w:tc>
      </w:tr>
      <w:tr>
        <w:trPr>
          <w:trHeight w:val="119"/>
        </w:trPr>
        <w:tc>
          <w:tcPr>
            <w:tcW w:w="5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340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119"/>
        </w:trPr>
        <w:tc>
          <w:tcPr>
            <w:tcW w:w="5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340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ежбюджетные трансферты из областного бюджета (справочно)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34853,2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34853,2</w:t>
            </w:r>
          </w:p>
        </w:tc>
      </w:tr>
      <w:tr>
        <w:trPr>
          <w:trHeight w:val="119"/>
        </w:trPr>
        <w:tc>
          <w:tcPr>
            <w:tcW w:w="5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местный бюджет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13111,5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11835,0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11973,0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12451,9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12950,0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13468,0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75789,4</w:t>
            </w:r>
          </w:p>
        </w:tc>
      </w:tr>
      <w:tr>
        <w:trPr>
          <w:trHeight w:val="119"/>
        </w:trPr>
        <w:tc>
          <w:tcPr>
            <w:tcW w:w="5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Внебюджетные источники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233"/>
        </w:trPr>
        <w:tc>
          <w:tcPr>
            <w:tcW w:w="5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«Обеспечена деятельность и функци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онирование Физкультурно-оздоровительным комплексом п. Ивня»</w:t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eastAsia="en-US"/>
              </w:rPr>
              <w:t xml:space="preserve">110 28 91</w:t>
            </w:r>
          </w:p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eastAsia="en-US"/>
              </w:rPr>
              <w:t xml:space="preserve">06 4 02</w:t>
            </w:r>
          </w:p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20"/>
                <w:lang w:eastAsia="en-US"/>
              </w:rPr>
              <w:t xml:space="preserve">ХХХХХ ХХХ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100"/>
        </w:trPr>
        <w:tc>
          <w:tcPr>
            <w:tcW w:w="5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Местный бюджет (всего), из них: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47964,7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11835,0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11973,0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12451,9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12950,0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13468,0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110642,6</w:t>
            </w:r>
          </w:p>
        </w:tc>
      </w:tr>
      <w:tr>
        <w:trPr>
          <w:trHeight w:val="127"/>
        </w:trPr>
        <w:tc>
          <w:tcPr>
            <w:tcW w:w="5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47964,7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11835,0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11973,0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12451,9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12950,0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13468,0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110642,6</w:t>
            </w:r>
          </w:p>
        </w:tc>
      </w:tr>
      <w:tr>
        <w:trPr>
          <w:trHeight w:val="127"/>
        </w:trPr>
        <w:tc>
          <w:tcPr>
            <w:tcW w:w="5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межбюджетные трансферты из областного бюджета (справочно)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127"/>
        </w:trPr>
        <w:tc>
          <w:tcPr>
            <w:tcW w:w="5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местный бюджет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34853,2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34853,2</w:t>
            </w:r>
          </w:p>
        </w:tc>
      </w:tr>
      <w:tr>
        <w:trPr>
          <w:trHeight w:val="127"/>
        </w:trPr>
        <w:tc>
          <w:tcPr>
            <w:tcW w:w="5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13111,5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11835,0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11973,0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12451,9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12950,0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13468,0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7578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9,4</w:t>
            </w:r>
          </w:p>
        </w:tc>
      </w:tr>
      <w:tr>
        <w:trPr>
          <w:trHeight w:val="127"/>
        </w:trPr>
        <w:tc>
          <w:tcPr>
            <w:tcW w:w="5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Нераспределенный резерв (местный бюджет)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</w:tbl>
    <w:p>
      <w:pPr>
        <w:pStyle w:val="Normal"/>
        <w:spacing w:after="0"/>
        <w:rPr>
          <w:vanish/>
        </w:rPr>
      </w:pPr>
      <w:r>
        <w:rPr>
          <w:vanish/>
        </w:rPr>
      </w:r>
    </w:p>
    <w:p>
      <w:pPr>
        <w:pStyle w:val="Normal"/>
        <w:spacing w:after="0"/>
        <w:ind w:left="1077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b/>
          <w:sz w:val="26"/>
          <w:szCs w:val="26"/>
        </w:rPr>
        <w:t xml:space="preserve">Приложение</w:t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Normal"/>
        <w:spacing w:after="0"/>
        <w:ind w:left="10773"/>
        <w:jc w:val="center"/>
        <w:rPr>
          <w:b/>
          <w:vanish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 паспорту комплекса процессных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мероприятий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«Обеспечение деятельности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Физкульт</w:t>
      </w:r>
      <w:r>
        <w:rPr>
          <w:rFonts w:ascii="Times New Roman" w:hAnsi="Times New Roman" w:cs="Times New Roman"/>
          <w:b/>
          <w:sz w:val="26"/>
          <w:szCs w:val="26"/>
        </w:rPr>
        <w:t xml:space="preserve">урно-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оздоровительного комплекса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п. Ивня»</w:t>
      </w:r>
      <w:r>
        <w:rPr>
          <w:b/>
          <w:vanish/>
          <w:sz w:val="26"/>
          <w:szCs w:val="26"/>
        </w:rPr>
      </w:r>
    </w:p>
    <w:p>
      <w:pPr>
        <w:pStyle w:val="Normal"/>
        <w:spacing w:before="240" w:after="12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</w:r>
    </w:p>
    <w:p>
      <w:pPr>
        <w:pStyle w:val="179"/>
        <w:numPr>
          <w:numId w:val="7"/>
          <w:ilvl w:val="0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План реализации комплекса процессных мероприятий 2</w:t>
      </w:r>
      <w:r>
        <w:rPr>
          <w:rFonts w:ascii="Times New Roman" w:hAnsi="Times New Roman" w:cs="Times New Roman"/>
          <w:b/>
          <w:sz w:val="16"/>
          <w:szCs w:val="16"/>
        </w:rPr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</w:r>
    </w:p>
    <w:tbl>
      <w:tblPr>
        <w:tblW w:w="0" w:type="auto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</w:tblPr>
      <w:tblGrid>
        <w:gridCol w:w="8790"/>
        <w:gridCol w:w="1405"/>
        <w:gridCol w:w="2497"/>
        <w:gridCol w:w="2051"/>
      </w:tblGrid>
      <w:tr>
        <w:trPr>
          <w:trHeight w:val="646"/>
          <w:tblHeader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Задача,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мероприятие (результат) /</w:t>
            </w:r>
          </w:p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контрольная точка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Дата наступления контрольной точки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Ответственный исполнитель</w:t>
            </w:r>
          </w:p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(Ф.И.О., должность, наименование ОИВ субъекта Российской Федерации (местной администрации муниципального образования), иного государственного (муниципа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льного) органа, организации)</w:t>
            </w:r>
            <w:r>
              <w:rPr>
                <w:rStyle w:val="UserStyle_14"/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Вид подтверждающего документа</w:t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</w:t>
            </w:r>
          </w:p>
        </w:tc>
      </w:tr>
      <w:tr>
        <w:trPr>
          <w:trHeight w:val="119"/>
        </w:trPr>
        <w:tc>
          <w:tcPr>
            <w:tcW w:w="147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«Исполнение муниципальных функций Физкультурно-оздоровительного комплекса в соответствии с действующим законодательством»</w:t>
            </w:r>
          </w:p>
        </w:tc>
      </w:tr>
      <w:tr>
        <w:trPr>
          <w:trHeight w:val="119"/>
        </w:trPr>
        <w:tc>
          <w:tcPr>
            <w:tcW w:w="147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«Обеспечена деятельность и функц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ионирование Физкультурно-оздоровительным комплексом п. Ивня» в 2025 году </w:t>
            </w:r>
          </w:p>
        </w:tc>
      </w:tr>
      <w:tr>
        <w:trPr>
          <w:trHeight w:val="378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заработная плата по категориям работников, не попадающим под повышение по указам Презедента РФ 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31.12.2025</w:t>
            </w:r>
          </w:p>
        </w:tc>
        <w:tc>
          <w:tcPr>
            <w:tcW w:w="24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МБУ «ЦФКИС», 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директор Дудко Ю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лия Юрьевна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</w:t>
            </w:r>
          </w:p>
        </w:tc>
        <w:tc>
          <w:tcPr>
            <w:tcW w:w="20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Квартальные, полугодовые и годовые отчёты</w:t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беспечено начисление на выплаты по оплате труда категориям работников, не попадающим под повышение по указам Президента РФ 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31.12.2025</w:t>
            </w:r>
          </w:p>
        </w:tc>
        <w:tc>
          <w:tcPr>
            <w:tcW w:w="2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беспечены выплат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 на транспортные услуги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31.12.2025</w:t>
            </w:r>
          </w:p>
        </w:tc>
        <w:tc>
          <w:tcPr>
            <w:tcW w:w="2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оплата текущего ремонта оборудования и инвентаря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31.12.2025</w:t>
            </w:r>
          </w:p>
        </w:tc>
        <w:tc>
          <w:tcPr>
            <w:tcW w:w="2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оплата текущего ремонта зданий и сооружений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31.12.2025</w:t>
            </w:r>
          </w:p>
        </w:tc>
        <w:tc>
          <w:tcPr>
            <w:tcW w:w="2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оплата прочих расходов, услуг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31.12.2025</w:t>
            </w:r>
          </w:p>
        </w:tc>
        <w:tc>
          <w:tcPr>
            <w:tcW w:w="2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1.7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выплата пособий за первые три дня временной нетрудоспособности «не указанных» категорий работников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31.12.2025</w:t>
            </w:r>
          </w:p>
        </w:tc>
        <w:tc>
          <w:tcPr>
            <w:tcW w:w="2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плата на приобретение оборудования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.2025</w:t>
            </w:r>
          </w:p>
        </w:tc>
        <w:tc>
          <w:tcPr>
            <w:tcW w:w="2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1.9.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в рамках физической культуры и массового спорта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31.12.2025</w:t>
            </w:r>
          </w:p>
        </w:tc>
        <w:tc>
          <w:tcPr>
            <w:tcW w:w="2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1.10. Обеспечение деятельности в рамках физической культуры и массового спорта в сельских поселениях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31.12.2025</w:t>
            </w:r>
          </w:p>
        </w:tc>
        <w:tc>
          <w:tcPr>
            <w:tcW w:w="2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(результат)«Обеспечена деятельность и функционирование Физкультурно-оздоровительным комплексом п. Ивня» в 2026 году реализации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31.12.2026</w:t>
            </w:r>
          </w:p>
        </w:tc>
        <w:tc>
          <w:tcPr>
            <w:tcW w:w="2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1.11.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аработная плата по категориям работников, не попадающим под повышение по указам Презеден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та РФ 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31.12.2026</w:t>
            </w:r>
          </w:p>
        </w:tc>
        <w:tc>
          <w:tcPr>
            <w:tcW w:w="2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1.12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беспечено начисление на выплаты по оплате труда категориям работников, не попадающим под повышение по указам Президента РФ 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31.12.2026</w:t>
            </w:r>
          </w:p>
        </w:tc>
        <w:tc>
          <w:tcPr>
            <w:tcW w:w="2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1.13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беспечены выплаты на транспортные услуги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26</w:t>
            </w:r>
          </w:p>
        </w:tc>
        <w:tc>
          <w:tcPr>
            <w:tcW w:w="2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1.14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оплата текущего ремонта оборудования и инвентаря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31.12.2026</w:t>
            </w:r>
          </w:p>
        </w:tc>
        <w:tc>
          <w:tcPr>
            <w:tcW w:w="2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1.15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оплата текущего ремонта зданий и сооружений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31.12.2026</w:t>
            </w:r>
          </w:p>
        </w:tc>
        <w:tc>
          <w:tcPr>
            <w:tcW w:w="2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1.16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оплата прочих расходов, усл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уг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31.12.2026</w:t>
            </w:r>
          </w:p>
        </w:tc>
        <w:tc>
          <w:tcPr>
            <w:tcW w:w="2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1.17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выплата пособий за первые три дня временной нетрудоспособности «не указанных» категорий работников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31.12.2026</w:t>
            </w:r>
          </w:p>
        </w:tc>
        <w:tc>
          <w:tcPr>
            <w:tcW w:w="2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1.18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плата на приобретение оборудования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31.12.2026</w:t>
            </w:r>
          </w:p>
        </w:tc>
        <w:tc>
          <w:tcPr>
            <w:tcW w:w="2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.19. Обеспечение деятельности в рамках физической культуры и массового спорта в сельских поселениях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31.12.2027</w:t>
            </w:r>
          </w:p>
        </w:tc>
        <w:tc>
          <w:tcPr>
            <w:tcW w:w="2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Обеспечена деятельность и функционирование Физкультурно-оздоровительным комплексом п. Ивня» в 2027 году реализации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12.2027</w:t>
            </w:r>
          </w:p>
        </w:tc>
        <w:tc>
          <w:tcPr>
            <w:tcW w:w="2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1.20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заработная плата по категориям работников, не попадающим под повышение по указам Президента РФ 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31.12.2027</w:t>
            </w:r>
          </w:p>
        </w:tc>
        <w:tc>
          <w:tcPr>
            <w:tcW w:w="2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1.21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беспечено начисление на выплаты по оплате труда категориям работников, не поп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адающим под повышение по указам Президента РФ 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31.12.2027</w:t>
            </w:r>
          </w:p>
        </w:tc>
        <w:tc>
          <w:tcPr>
            <w:tcW w:w="2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беспечены выплаты на транспортные услуги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31.12.2027</w:t>
            </w:r>
          </w:p>
        </w:tc>
        <w:tc>
          <w:tcPr>
            <w:tcW w:w="2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1.23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оплата текущего ремонта оборудования и инвентаря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31.12.2027</w:t>
            </w:r>
          </w:p>
        </w:tc>
        <w:tc>
          <w:tcPr>
            <w:tcW w:w="2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.24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оплата текущего ремонта зданий и сооружений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31.12.2027</w:t>
            </w:r>
          </w:p>
        </w:tc>
        <w:tc>
          <w:tcPr>
            <w:tcW w:w="2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1.25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оплата прочих расходов, услуг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31.12.2027</w:t>
            </w:r>
          </w:p>
        </w:tc>
        <w:tc>
          <w:tcPr>
            <w:tcW w:w="2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1.26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выплата пособий за первые три дня временной нетрудоспособности «не указ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анных» категорий работников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31.12.2027</w:t>
            </w:r>
          </w:p>
        </w:tc>
        <w:tc>
          <w:tcPr>
            <w:tcW w:w="2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плата на приобретение оборудования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31.12.2027</w:t>
            </w:r>
          </w:p>
        </w:tc>
        <w:tc>
          <w:tcPr>
            <w:tcW w:w="2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1.18. Обеспечение деятельности в рамках физической культуры и массового спорта в сельских поселениях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31.12.2027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pStyle w:val="Normal"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</w:r>
    </w:p>
    <w:p>
      <w:pPr>
        <w:pStyle w:val="Normal"/>
        <w:numPr>
          <w:numId w:val="6"/>
          <w:ilvl w:val="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b/>
          <w:sz w:val="27"/>
          <w:szCs w:val="27"/>
        </w:rPr>
        <w:t xml:space="preserve">П</w:t>
      </w:r>
      <w:r>
        <w:rPr>
          <w:rFonts w:ascii="Times New Roman" w:hAnsi="Times New Roman" w:cs="Times New Roman"/>
          <w:b/>
          <w:sz w:val="27"/>
          <w:szCs w:val="27"/>
        </w:rPr>
        <w:t xml:space="preserve">аспор</w:t>
      </w:r>
      <w:r>
        <w:rPr>
          <w:rFonts w:ascii="Times New Roman" w:hAnsi="Times New Roman" w:cs="Times New Roman"/>
          <w:b/>
          <w:sz w:val="27"/>
          <w:szCs w:val="27"/>
        </w:rPr>
        <w:t xml:space="preserve">т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</w:rPr>
        <w:t xml:space="preserve">комплекса процессных мероприятий</w:t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«Обеспечение деятельности плавательного бассейна п. Ивня»</w:t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(далее – комплекс процессных мероприятий 3)</w:t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Normal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179"/>
        <w:numPr>
          <w:numId w:val="4"/>
          <w:ilvl w:val="0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Общие положения</w:t>
      </w:r>
      <w:r>
        <w:rPr>
          <w:rFonts w:ascii="Times New Roman" w:hAnsi="Times New Roman" w:cs="Times New Roman"/>
          <w:b/>
          <w:sz w:val="16"/>
          <w:szCs w:val="16"/>
        </w:rPr>
      </w:r>
    </w:p>
    <w:p>
      <w:pPr>
        <w:pStyle w:val="Normal"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</w:r>
    </w:p>
    <w:tbl>
      <w:tblPr>
        <w:tblW w:w="0" w:type="auto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</w:tblPr>
      <w:tblGrid>
        <w:gridCol w:w="3403"/>
        <w:gridCol w:w="11907"/>
      </w:tblGrid>
      <w:tr>
        <w:trPr>
          <w:trHeight w:val="133"/>
        </w:trPr>
        <w:tc>
          <w:tcPr>
            <w:tcW w:w="3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Ответственный орган: </w:t>
            </w:r>
          </w:p>
        </w:tc>
        <w:tc>
          <w:tcPr>
            <w:tcW w:w="1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Наименование ОИВ: МБУ «ЦФКИС», 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директор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а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Дудко Юлия Юрьевна</w:t>
            </w:r>
          </w:p>
        </w:tc>
      </w:tr>
      <w:tr>
        <w:trPr>
          <w:trHeight w:val="80"/>
        </w:trPr>
        <w:tc>
          <w:tcPr>
            <w:tcW w:w="3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Связь 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с муниципальной программой:</w:t>
            </w:r>
          </w:p>
        </w:tc>
        <w:tc>
          <w:tcPr>
            <w:tcW w:w="1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Муниципальная программа «Развитие физической культуры и спорта на территории Ивнянского района»</w:t>
            </w:r>
          </w:p>
        </w:tc>
      </w:tr>
    </w:tbl>
    <w:p>
      <w:pPr>
        <w:pStyle w:val="Normal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</w:p>
    <w:p>
      <w:pPr>
        <w:pStyle w:val="179"/>
        <w:numPr>
          <w:numId w:val="4"/>
          <w:ilvl w:val="0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16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Показатели комплекса процессных мероприятий 3</w:t>
      </w:r>
      <w:r>
        <w:rPr>
          <w:rFonts w:ascii="Times New Roman" w:hAnsi="Times New Roman" w:cs="Times New Roman"/>
          <w:b/>
          <w:sz w:val="16"/>
          <w:szCs w:val="27"/>
        </w:rPr>
      </w:r>
    </w:p>
    <w:p>
      <w:pPr>
        <w:pStyle w:val="179"/>
        <w:spacing w:after="0" w:line="240" w:lineRule="auto"/>
        <w:ind w:left="0"/>
        <w:rPr>
          <w:rFonts w:ascii="Times New Roman" w:hAnsi="Times New Roman" w:cs="Times New Roman"/>
          <w:b/>
          <w:sz w:val="16"/>
          <w:szCs w:val="27"/>
        </w:rPr>
      </w:pPr>
      <w:r>
        <w:rPr>
          <w:rFonts w:ascii="Times New Roman" w:hAnsi="Times New Roman" w:cs="Times New Roman"/>
          <w:b/>
          <w:sz w:val="16"/>
          <w:szCs w:val="27"/>
        </w:rPr>
      </w:r>
    </w:p>
    <w:tbl>
      <w:tblPr>
        <w:tblW w:w="15310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</w:tblPr>
      <w:tblGrid>
        <w:gridCol w:w="572"/>
        <w:gridCol w:w="1980"/>
        <w:gridCol w:w="851"/>
        <w:gridCol w:w="1134"/>
        <w:gridCol w:w="1275"/>
        <w:gridCol w:w="1134"/>
        <w:gridCol w:w="709"/>
        <w:gridCol w:w="709"/>
        <w:gridCol w:w="709"/>
        <w:gridCol w:w="708"/>
        <w:gridCol w:w="709"/>
        <w:gridCol w:w="709"/>
        <w:gridCol w:w="709"/>
        <w:gridCol w:w="1701"/>
        <w:gridCol w:w="1701"/>
      </w:tblGrid>
      <w:tr>
        <w:trPr>
          <w:trHeight w:val="286"/>
        </w:trPr>
        <w:tc>
          <w:tcPr>
            <w:tcW w:w="5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</w:t>
            </w:r>
          </w:p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п/п</w:t>
            </w:r>
          </w:p>
        </w:tc>
        <w:tc>
          <w:tcPr>
            <w:tcW w:w="19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показателя/задачи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Признак возрастания/ убывания</w:t>
            </w:r>
          </w:p>
        </w:tc>
        <w:tc>
          <w:tcPr>
            <w:tcW w:w="113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Уровень показат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еля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Единица измерения</w:t>
            </w:r>
          </w:p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(по ОКЕИ)</w:t>
            </w: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Базовое значение</w:t>
            </w:r>
          </w:p>
        </w:tc>
        <w:tc>
          <w:tcPr>
            <w:tcW w:w="425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Значение показателей по годам</w:t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Ответственный за достижение показателя</w:t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Информационная система</w:t>
            </w:r>
          </w:p>
        </w:tc>
      </w:tr>
      <w:tr>
        <w:trPr>
          <w:trHeight w:val="77"/>
        </w:trPr>
        <w:tc>
          <w:tcPr>
            <w:tcW w:w="5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134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значение</w:t>
            </w:r>
          </w:p>
        </w:tc>
        <w:tc>
          <w:tcPr>
            <w:tcW w:w="70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год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2026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2028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2029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2030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rPr>
          <w:trHeight w:val="144"/>
        </w:trPr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13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14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15</w:t>
            </w:r>
          </w:p>
        </w:tc>
      </w:tr>
      <w:tr>
        <w:trPr>
          <w:trHeight w:val="243"/>
        </w:trPr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</w:t>
            </w:r>
          </w:p>
        </w:tc>
        <w:tc>
          <w:tcPr>
            <w:tcW w:w="14738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«Исполнение муни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ципальных функций плавательного бассейна в соответствии с действующим законодательством»</w:t>
            </w:r>
          </w:p>
        </w:tc>
      </w:tr>
      <w:tr>
        <w:trPr>
          <w:trHeight w:val="428"/>
        </w:trPr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1.1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платных услуг населению Ивнянского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оказанных плавательным бассейном п. Ивня  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Прогрессирующий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КМП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Тыс. руб.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800,0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824,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848,7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874,2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900,4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927,4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955,2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МКУ «ЦФКИС»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</w:tr>
    </w:tbl>
    <w:p>
      <w:pPr>
        <w:pStyle w:val="179"/>
        <w:spacing w:after="0" w:line="240" w:lineRule="auto"/>
        <w:ind w:left="0"/>
        <w:rPr>
          <w:rFonts w:ascii="Times New Roman" w:hAnsi="Times New Roman" w:cs="Times New Roman"/>
          <w:sz w:val="16"/>
          <w:szCs w:val="27"/>
        </w:rPr>
      </w:pPr>
      <w:r>
        <w:rPr>
          <w:rFonts w:ascii="Times New Roman" w:hAnsi="Times New Roman" w:cs="Times New Roman"/>
          <w:sz w:val="16"/>
          <w:szCs w:val="27"/>
        </w:rPr>
      </w:r>
    </w:p>
    <w:p>
      <w:pPr>
        <w:pStyle w:val="179"/>
        <w:numPr>
          <w:numId w:val="4"/>
          <w:ilvl w:val="0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16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Помесячный план достижения показателей комплекса процессных мероприятий 3 в 2025 году</w:t>
      </w:r>
      <w:r>
        <w:rPr>
          <w:rFonts w:ascii="Times New Roman" w:hAnsi="Times New Roman" w:cs="Times New Roman"/>
          <w:b/>
          <w:sz w:val="16"/>
          <w:szCs w:val="27"/>
        </w:rPr>
      </w:r>
    </w:p>
    <w:p>
      <w:pPr>
        <w:pStyle w:val="179"/>
        <w:spacing w:after="0" w:line="240" w:lineRule="auto"/>
        <w:ind w:left="0"/>
        <w:rPr>
          <w:rFonts w:ascii="Times New Roman" w:hAnsi="Times New Roman" w:cs="Times New Roman"/>
          <w:b/>
          <w:sz w:val="16"/>
          <w:szCs w:val="27"/>
        </w:rPr>
      </w:pPr>
      <w:r>
        <w:rPr>
          <w:rFonts w:ascii="Times New Roman" w:hAnsi="Times New Roman" w:cs="Times New Roman"/>
          <w:b/>
          <w:sz w:val="16"/>
          <w:szCs w:val="27"/>
        </w:rPr>
      </w:r>
    </w:p>
    <w:tbl>
      <w:tblPr>
        <w:tblW w:w="5043" w:type="pct"/>
        <w:tblInd w:w="-136" w:type="dxa"/>
        <w:tblLayout w:type="fixed"/>
        <w:tblCellMar>
          <w:left w:w="6" w:type="dxa"/>
          <w:top w:w="0" w:type="dxa"/>
          <w:right w:w="6" w:type="dxa"/>
          <w:bottom w:w="0" w:type="dxa"/>
        </w:tblCellMar>
      </w:tblPr>
      <w:tblGrid>
        <w:gridCol w:w="530"/>
        <w:gridCol w:w="4535"/>
        <w:gridCol w:w="1047"/>
        <w:gridCol w:w="1526"/>
        <w:gridCol w:w="517"/>
        <w:gridCol w:w="518"/>
        <w:gridCol w:w="517"/>
        <w:gridCol w:w="518"/>
        <w:gridCol w:w="517"/>
        <w:gridCol w:w="517"/>
        <w:gridCol w:w="518"/>
        <w:gridCol w:w="517"/>
        <w:gridCol w:w="518"/>
        <w:gridCol w:w="517"/>
        <w:gridCol w:w="529"/>
        <w:gridCol w:w="1970"/>
      </w:tblGrid>
      <w:tr>
        <w:trPr>
          <w:trHeight w:val="187"/>
          <w:tblHeader/>
        </w:trPr>
        <w:tc>
          <w:tcPr>
            <w:tcW w:w="5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п/п</w:t>
            </w:r>
          </w:p>
        </w:tc>
        <w:tc>
          <w:tcPr>
            <w:tcW w:w="45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Показатели комплекса процессных мероприятий</w:t>
            </w:r>
          </w:p>
        </w:tc>
        <w:tc>
          <w:tcPr>
            <w:tcW w:w="10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Уровень показателя</w:t>
            </w:r>
          </w:p>
        </w:tc>
        <w:tc>
          <w:tcPr>
            <w:tcW w:w="15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(по ОКЕИ)</w:t>
            </w:r>
          </w:p>
        </w:tc>
        <w:tc>
          <w:tcPr>
            <w:tcW w:w="570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Плановые значения по месяцам</w:t>
            </w:r>
          </w:p>
        </w:tc>
        <w:tc>
          <w:tcPr>
            <w:tcW w:w="19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 конец 2025года</w:t>
            </w:r>
          </w:p>
        </w:tc>
      </w:tr>
      <w:tr>
        <w:trPr>
          <w:trHeight w:val="77"/>
          <w:tblHeader/>
        </w:trPr>
        <w:tc>
          <w:tcPr>
            <w:tcW w:w="5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4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0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5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янв.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фев.</w:t>
            </w: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март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апр.</w:t>
            </w: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май</w:t>
            </w: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июнь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июль</w:t>
            </w: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авг.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сен.</w:t>
            </w: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окт.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ноя.</w:t>
            </w:r>
          </w:p>
        </w:tc>
        <w:tc>
          <w:tcPr>
            <w:tcW w:w="19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rPr>
          <w:trHeight w:val="64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</w:t>
            </w:r>
          </w:p>
        </w:tc>
        <w:tc>
          <w:tcPr>
            <w:tcW w:w="14781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«Исполнение муниципальных функций плавательного бассейна в соответствии с действующим законодательством»</w:t>
            </w:r>
          </w:p>
        </w:tc>
      </w:tr>
      <w:tr>
        <w:trPr>
          <w:trHeight w:val="202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1.1.</w:t>
            </w:r>
          </w:p>
        </w:tc>
        <w:tc>
          <w:tcPr>
            <w:tcW w:w="4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платных услуг населению Ивнянского района оказанных плавательным бассе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йном п. Ивня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КМП</w:t>
            </w:r>
          </w:p>
        </w:tc>
        <w:tc>
          <w:tcPr>
            <w:tcW w:w="1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% (Проц)</w:t>
            </w: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</w:t>
            </w: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1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824,00</w:t>
            </w:r>
          </w:p>
        </w:tc>
      </w:tr>
    </w:tbl>
    <w:p>
      <w:pPr>
        <w:pStyle w:val="179"/>
        <w:spacing w:after="0" w:line="240" w:lineRule="auto"/>
        <w:ind w:left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</w:r>
    </w:p>
    <w:p>
      <w:pPr>
        <w:pStyle w:val="179"/>
        <w:numPr>
          <w:numId w:val="4"/>
          <w:ilvl w:val="0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16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br w:type="page" w:clear="all"/>
      </w:r>
      <w:r>
        <w:rPr>
          <w:rFonts w:ascii="Times New Roman" w:hAnsi="Times New Roman" w:cs="Times New Roman"/>
          <w:b/>
          <w:sz w:val="27"/>
          <w:szCs w:val="27"/>
        </w:rPr>
        <w:t xml:space="preserve">Перечень мероприятий (результатов) комплекса процессных мероприятий 3</w:t>
      </w:r>
      <w:r>
        <w:rPr>
          <w:rFonts w:ascii="Times New Roman" w:hAnsi="Times New Roman" w:cs="Times New Roman"/>
          <w:b/>
          <w:sz w:val="16"/>
          <w:szCs w:val="27"/>
        </w:rPr>
      </w:r>
    </w:p>
    <w:p>
      <w:pPr>
        <w:pStyle w:val="179"/>
        <w:spacing w:after="0" w:line="240" w:lineRule="auto"/>
        <w:ind w:left="0"/>
        <w:rPr>
          <w:rFonts w:ascii="Times New Roman" w:hAnsi="Times New Roman" w:cs="Times New Roman"/>
          <w:b/>
          <w:sz w:val="16"/>
          <w:szCs w:val="27"/>
        </w:rPr>
      </w:pPr>
      <w:r>
        <w:rPr>
          <w:rFonts w:ascii="Times New Roman" w:hAnsi="Times New Roman" w:cs="Times New Roman"/>
          <w:b/>
          <w:sz w:val="16"/>
          <w:szCs w:val="27"/>
        </w:rPr>
      </w:r>
    </w:p>
    <w:tbl>
      <w:tblPr>
        <w:tblW w:w="0" w:type="auto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</w:tblPr>
      <w:tblGrid>
        <w:gridCol w:w="692"/>
        <w:gridCol w:w="3562"/>
        <w:gridCol w:w="1982"/>
        <w:gridCol w:w="1200"/>
        <w:gridCol w:w="1033"/>
        <w:gridCol w:w="616"/>
        <w:gridCol w:w="616"/>
        <w:gridCol w:w="616"/>
        <w:gridCol w:w="616"/>
        <w:gridCol w:w="616"/>
        <w:gridCol w:w="616"/>
        <w:gridCol w:w="616"/>
        <w:gridCol w:w="2529"/>
      </w:tblGrid>
      <w:tr>
        <w:trPr>
          <w:trHeight w:val="184"/>
        </w:trPr>
        <w:tc>
          <w:tcPr>
            <w:tcW w:w="6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п/п</w:t>
            </w:r>
          </w:p>
        </w:tc>
        <w:tc>
          <w:tcPr>
            <w:tcW w:w="35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мероприятия (результата)</w:t>
            </w:r>
          </w:p>
        </w:tc>
        <w:tc>
          <w:tcPr>
            <w:tcW w:w="19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Тип мероприятий (результата)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Единица измерения (по ОКЕИ)</w:t>
            </w:r>
          </w:p>
        </w:tc>
        <w:tc>
          <w:tcPr>
            <w:tcW w:w="16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Базовое значение</w:t>
            </w:r>
          </w:p>
        </w:tc>
        <w:tc>
          <w:tcPr>
            <w:tcW w:w="36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Значения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мероприятия (результата) по годам</w:t>
            </w:r>
          </w:p>
        </w:tc>
        <w:tc>
          <w:tcPr>
            <w:tcW w:w="25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Связь с показателями комплекса процессных мероприятий</w:t>
            </w:r>
          </w:p>
        </w:tc>
      </w:tr>
      <w:tr>
        <w:trPr>
          <w:trHeight w:val="130"/>
        </w:trPr>
        <w:tc>
          <w:tcPr>
            <w:tcW w:w="6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35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9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03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значение</w:t>
            </w:r>
          </w:p>
        </w:tc>
        <w:tc>
          <w:tcPr>
            <w:tcW w:w="61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год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2025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2026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2027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2028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2029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2030</w:t>
            </w:r>
          </w:p>
        </w:tc>
        <w:tc>
          <w:tcPr>
            <w:tcW w:w="2529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rPr>
          <w:trHeight w:val="147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</w:t>
            </w:r>
          </w:p>
        </w:tc>
        <w:tc>
          <w:tcPr>
            <w:tcW w:w="3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</w:t>
            </w:r>
          </w:p>
        </w:tc>
        <w:tc>
          <w:tcPr>
            <w:tcW w:w="1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12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13</w:t>
            </w:r>
          </w:p>
        </w:tc>
        <w:tc>
          <w:tcPr>
            <w:tcW w:w="2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14</w:t>
            </w:r>
          </w:p>
        </w:tc>
      </w:tr>
      <w:tr>
        <w:trPr>
          <w:trHeight w:val="197"/>
        </w:trPr>
        <w:tc>
          <w:tcPr>
            <w:tcW w:w="15310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«Исполнение муниципальных функций плавательного бассейна в соответствии с дейст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вующим законодательством»</w:t>
            </w:r>
          </w:p>
        </w:tc>
      </w:tr>
      <w:tr>
        <w:trPr>
          <w:trHeight w:val="198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</w:t>
            </w:r>
          </w:p>
        </w:tc>
        <w:tc>
          <w:tcPr>
            <w:tcW w:w="3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«Обеспечена деятельность и функционирование плавательного бассейна п. Ивня»</w:t>
            </w:r>
          </w:p>
        </w:tc>
        <w:tc>
          <w:tcPr>
            <w:tcW w:w="1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текущей деятельности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Единиц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</w:p>
        </w:tc>
        <w:tc>
          <w:tcPr>
            <w:tcW w:w="2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платных услуг населению Ивнянского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оказанных плавател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ьным бассейном п. Ивня</w:t>
            </w:r>
          </w:p>
        </w:tc>
      </w:tr>
      <w:tr>
        <w:trPr>
          <w:trHeight w:val="198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618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материального обеспечения плавательного бассейна п. Ивня, включая фонд оплаты труда, эксплуатацию и текущий ремонт, оплату коммунальных услуг и иных хозяйственных расходов. </w:t>
            </w:r>
          </w:p>
        </w:tc>
      </w:tr>
    </w:tbl>
    <w:p>
      <w:pPr>
        <w:pStyle w:val="179"/>
        <w:pageBreakBefore/>
        <w:numPr>
          <w:numId w:val="4"/>
          <w:ilvl w:val="0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16"/>
          <w:szCs w:val="20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Финансовое обеспечение комплекса процессны</w:t>
      </w:r>
      <w:r>
        <w:rPr>
          <w:rFonts w:ascii="Times New Roman" w:hAnsi="Times New Roman" w:cs="Times New Roman"/>
          <w:b/>
          <w:sz w:val="27"/>
          <w:szCs w:val="27"/>
        </w:rPr>
        <w:t xml:space="preserve">х мероприятий 3</w:t>
      </w:r>
      <w:r>
        <w:rPr>
          <w:rFonts w:ascii="Times New Roman" w:hAnsi="Times New Roman" w:cs="Times New Roman"/>
          <w:b/>
          <w:sz w:val="16"/>
          <w:szCs w:val="20"/>
        </w:rPr>
      </w:r>
    </w:p>
    <w:p>
      <w:pPr>
        <w:pStyle w:val="Normal"/>
        <w:spacing w:after="0" w:line="240" w:lineRule="auto"/>
        <w:rPr>
          <w:rFonts w:ascii="Times New Roman" w:hAnsi="Times New Roman" w:cs="Times New Roman"/>
          <w:b/>
          <w:sz w:val="16"/>
          <w:szCs w:val="20"/>
        </w:rPr>
      </w:pPr>
      <w:r>
        <w:rPr>
          <w:rFonts w:ascii="Times New Roman" w:hAnsi="Times New Roman" w:cs="Times New Roman"/>
          <w:b/>
          <w:sz w:val="16"/>
          <w:szCs w:val="20"/>
        </w:rPr>
      </w:r>
    </w:p>
    <w:tbl>
      <w:tblPr>
        <w:tblW w:w="15451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</w:tblPr>
      <w:tblGrid>
        <w:gridCol w:w="7513"/>
        <w:gridCol w:w="1701"/>
        <w:gridCol w:w="993"/>
        <w:gridCol w:w="850"/>
        <w:gridCol w:w="851"/>
        <w:gridCol w:w="850"/>
        <w:gridCol w:w="851"/>
        <w:gridCol w:w="850"/>
        <w:gridCol w:w="992"/>
      </w:tblGrid>
      <w:tr>
        <w:trPr>
          <w:trHeight w:val="255"/>
          <w:tblHeader/>
        </w:trPr>
        <w:tc>
          <w:tcPr>
            <w:tcW w:w="75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мероприятия (результата) /</w:t>
            </w:r>
          </w:p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источник финансового обеспечения</w:t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Код бюджетной классификации </w:t>
            </w:r>
          </w:p>
        </w:tc>
        <w:tc>
          <w:tcPr>
            <w:tcW w:w="62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Объем финансового обеспечения</w:t>
            </w:r>
          </w:p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 годам реализации, тыс. рублей</w:t>
            </w:r>
          </w:p>
        </w:tc>
      </w:tr>
      <w:tr>
        <w:trPr>
          <w:trHeight w:val="106"/>
          <w:tblHeader/>
        </w:trPr>
        <w:tc>
          <w:tcPr>
            <w:tcW w:w="75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2030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Всего</w:t>
            </w:r>
          </w:p>
        </w:tc>
      </w:tr>
      <w:tr>
        <w:trPr>
          <w:trHeight w:val="119"/>
        </w:trPr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</w:t>
            </w:r>
          </w:p>
        </w:tc>
      </w:tr>
      <w:tr>
        <w:trPr>
          <w:trHeight w:val="119"/>
        </w:trPr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Комплекс процес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сных мероприятий «Обеспечение деятельности плавательного бассейна п. Ивня» (всего), в том числе:</w:t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06 4 03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13499,3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7550,0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7600,0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7904,0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8220,2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8548,9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53322,4</w:t>
            </w:r>
          </w:p>
        </w:tc>
      </w:tr>
      <w:tr>
        <w:trPr>
          <w:trHeight w:val="119"/>
        </w:trPr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Местный бюджет (всего), из них: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13499,3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7550,0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7600,0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7904,0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8220,2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8548,9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53322,4</w:t>
            </w:r>
          </w:p>
        </w:tc>
      </w:tr>
      <w:tr>
        <w:trPr>
          <w:trHeight w:val="119"/>
        </w:trPr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340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межбюджетные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трансферты из федерального бюджета (справочно)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119"/>
        </w:trPr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340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межбюджетные трансферты из областного бюджета (справочно)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119"/>
        </w:trPr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местный бюджет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13499,3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7550,0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7600,0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7904,0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220,2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8548,9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3322,4</w:t>
            </w:r>
          </w:p>
        </w:tc>
      </w:tr>
      <w:tr>
        <w:trPr>
          <w:trHeight w:val="119"/>
        </w:trPr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Внебюджетные источники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233"/>
        </w:trPr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ятие (результат) «Обеспечена деятельность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 w:type="textWrapping" w:clear="all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функционирование плавательн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ейн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п. Ивня»</w:t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eastAsia="en-US"/>
              </w:rPr>
              <w:t xml:space="preserve">110 28 91</w:t>
            </w:r>
          </w:p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eastAsia="en-US"/>
              </w:rPr>
              <w:t xml:space="preserve">06 4 03</w:t>
            </w:r>
          </w:p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20"/>
                <w:lang w:eastAsia="en-US"/>
              </w:rPr>
              <w:t xml:space="preserve">ХХХХХ ХХХ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13499,3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7550,0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7600,0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7904,0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8220,2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8548,9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53322,4</w:t>
            </w:r>
          </w:p>
        </w:tc>
      </w:tr>
      <w:tr>
        <w:trPr>
          <w:trHeight w:val="100"/>
        </w:trPr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Местный бюджет (всего), из них: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13499,3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7550,0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7600,0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7904,0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8220,2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8548,9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53322,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</w:t>
            </w:r>
          </w:p>
        </w:tc>
      </w:tr>
      <w:tr>
        <w:trPr>
          <w:trHeight w:val="127"/>
        </w:trPr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127"/>
        </w:trPr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межбюджетные трансферты из областного бюджета (справочно)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127"/>
        </w:trPr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местный бюджет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13499,3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7550,0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7600,0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7904,0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8220,2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8548,9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53322,4</w:t>
            </w:r>
          </w:p>
        </w:tc>
      </w:tr>
      <w:tr>
        <w:trPr>
          <w:trHeight w:val="127"/>
        </w:trPr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127"/>
        </w:trPr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Нераспределенный резерв (местный бюджет)</w:t>
            </w:r>
          </w:p>
        </w:tc>
        <w:tc>
          <w:tcPr>
            <w:tcW w:w="170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</w:tbl>
    <w:p>
      <w:pPr>
        <w:pStyle w:val="Normal"/>
        <w:spacing w:after="0"/>
        <w:rPr>
          <w:vanish/>
        </w:rPr>
      </w:pPr>
      <w:r>
        <w:rPr>
          <w:vanish/>
        </w:rPr>
      </w:r>
    </w:p>
    <w:p>
      <w:pPr>
        <w:pStyle w:val="Normal"/>
        <w:spacing w:after="0" w:line="240" w:lineRule="auto"/>
        <w:ind w:left="1077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b/>
          <w:sz w:val="26"/>
          <w:szCs w:val="26"/>
        </w:rPr>
        <w:t xml:space="preserve">Приложение</w:t>
      </w:r>
    </w:p>
    <w:p>
      <w:pPr>
        <w:pStyle w:val="Normal"/>
        <w:spacing w:after="0"/>
        <w:ind w:left="10773"/>
        <w:jc w:val="center"/>
        <w:rPr>
          <w:b/>
          <w:vanish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 паспорту комплекса процессных мероприятий «Обеспечение деятельности плавательного бассейна п. Ивня»</w:t>
      </w:r>
      <w:r>
        <w:rPr>
          <w:b/>
          <w:vanish/>
          <w:sz w:val="26"/>
          <w:szCs w:val="26"/>
        </w:rPr>
      </w:r>
    </w:p>
    <w:p>
      <w:pPr>
        <w:pStyle w:val="Normal"/>
        <w:spacing w:before="240" w:after="12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</w:r>
    </w:p>
    <w:p>
      <w:pPr>
        <w:pStyle w:val="179"/>
        <w:numPr>
          <w:numId w:val="4"/>
          <w:ilvl w:val="0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План реализации комплекса процессных мероприятий 3</w:t>
      </w:r>
      <w:r>
        <w:rPr>
          <w:rFonts w:ascii="Times New Roman" w:hAnsi="Times New Roman" w:cs="Times New Roman"/>
          <w:b/>
          <w:sz w:val="16"/>
          <w:szCs w:val="16"/>
        </w:rPr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</w:r>
    </w:p>
    <w:tbl>
      <w:tblPr>
        <w:tblW w:w="0" w:type="auto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</w:tblPr>
      <w:tblGrid>
        <w:gridCol w:w="8790"/>
        <w:gridCol w:w="1405"/>
        <w:gridCol w:w="3130"/>
        <w:gridCol w:w="2054"/>
      </w:tblGrid>
      <w:tr>
        <w:trPr>
          <w:trHeight w:val="646"/>
          <w:tblHeader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Задача, мероприятие (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результат) /</w:t>
            </w:r>
          </w:p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контрольная точка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Дата наступления контрольной точки</w:t>
            </w:r>
          </w:p>
        </w:tc>
        <w:tc>
          <w:tcPr>
            <w:tcW w:w="3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Ответственный исполнитель</w:t>
            </w:r>
          </w:p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(Ф.И.О., должность, наименование ОИВ субъекта Российской Федерации (местной администрации муниципального образования), иного государственного (муниципального) орган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а, организации)</w:t>
            </w:r>
            <w:r>
              <w:rPr>
                <w:rStyle w:val="UserStyle_14"/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Вид подтверждающего документа</w:t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</w:t>
            </w:r>
          </w:p>
        </w:tc>
        <w:tc>
          <w:tcPr>
            <w:tcW w:w="3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</w:t>
            </w:r>
          </w:p>
        </w:tc>
      </w:tr>
      <w:tr>
        <w:trPr>
          <w:trHeight w:val="119"/>
        </w:trPr>
        <w:tc>
          <w:tcPr>
            <w:tcW w:w="153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«Исполнение муниципальных функций плавательного бассейна в соответствии с действующим законодательством»</w:t>
            </w:r>
          </w:p>
        </w:tc>
      </w:tr>
      <w:tr>
        <w:trPr>
          <w:trHeight w:val="119"/>
        </w:trPr>
        <w:tc>
          <w:tcPr>
            <w:tcW w:w="153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«Обеспечена деятельность и функционирование плавательного басс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ейна п. Ивня» в 2025 году реализации</w:t>
            </w:r>
          </w:p>
        </w:tc>
      </w:tr>
      <w:tr>
        <w:trPr>
          <w:trHeight w:val="378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заработная плата по категориям работников, не попадающим под повышение по указам Президента РФ 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31.12.2025</w:t>
            </w:r>
          </w:p>
        </w:tc>
        <w:tc>
          <w:tcPr>
            <w:tcW w:w="31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МБУ «ЦФКИС», 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директор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а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Дудко Юлия Юрьевна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</w:t>
            </w:r>
          </w:p>
        </w:tc>
        <w:tc>
          <w:tcPr>
            <w:tcW w:w="20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Квартальные, полугодовы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и годовые отчёты</w:t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беспечено начисление на выплаты по оплате труда категориям работников, не попадающим под повышение по указам Президента РФ 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31.12.2025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беспечены выплаты на транспортные услуги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31.12.2025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оплата текущего ремонта оборудования и инвентаря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31.12.2025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оплата текущего ремонта зданий и сооружений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31.12.2025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оплата прочих расходов, услуг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12.2025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1.7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выплата пособий за первые три дня временной нетрудоспособности «не указанных» категорий работников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31.12.2025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плата на приобретение оборудования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31.12.2025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1.9.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Капи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тальный ремонт в рамках физической культуры и массового спорта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31.12.2025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«Обеспечена деятельность и функционирование плавательного бассейна п. Ивня» в 2026 году реализации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31.12.2026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1.9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аработная плата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категориям работников, не попадающим под повышение по указам Президента РФ 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31.12.2026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беспечено начисление на выплаты по оплате труда категориям работников, не попадающим под повышение по указам Президента РФ 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31.12.2026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рольная точка 1.11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беспечены выплаты на транспортные услуги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31.12.2026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1.12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оплата текущего ремонта оборудования и инвентаря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31.12.2026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1.13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оплата текущего ремонта зданий и сооружений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2026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1.14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оплата прочих расходов, услуг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31.12.2026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1.15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выплата пособий за первые три дня временной нетрудоспособности «не указанных» категорий работников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31.12.2026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1.16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плата на приобретение оборудования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31.12.2026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«Обеспечена деятельность и функционирование плавательного бассейна п. Ивня» в 2027 году реализации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31.12.2027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1.17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заработная плата по категориям рабо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тников, не попадающим под повышение по указам Президента РФ 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31.12.2027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1.18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беспечено начисление на выплаты по оплате труда категориям работников, не попадающим под повышение по указам Президента РФ 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31.12.2027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.19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беспечены выплаты на транспортные услуги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31.12.2027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1.20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оплата текущего ремонта оборудования и инвентаря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31.12.2027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1.21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оплата текущего ремонта зданий и сооружений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31.12.2027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ьная точка 1.22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оплата прочих расходов, услуг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31.12.2027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1.23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выплата пособий за первые три дня временной нетрудоспособности «не указанных» категорий работников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31.12.2027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плата на приоб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ретение оборудования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31.12.2027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pStyle w:val="Normal"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</w:r>
    </w:p>
    <w:p>
      <w:pPr>
        <w:pStyle w:val="Normal"/>
        <w:numPr>
          <w:numId w:val="6"/>
          <w:ilvl w:val="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b/>
          <w:sz w:val="27"/>
          <w:szCs w:val="27"/>
        </w:rPr>
        <w:t xml:space="preserve">П</w:t>
      </w:r>
      <w:r>
        <w:rPr>
          <w:rFonts w:ascii="Times New Roman" w:hAnsi="Times New Roman" w:cs="Times New Roman"/>
          <w:b/>
          <w:sz w:val="27"/>
          <w:szCs w:val="27"/>
        </w:rPr>
        <w:t xml:space="preserve">аспорт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</w:rPr>
        <w:t xml:space="preserve">комплекса процессных мероприятий</w:t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«Обеспечение деятельности Дома спорта с. Новенькое»</w:t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(далее – комплекс процессных мероприятий 4)</w:t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Normal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179"/>
        <w:numPr>
          <w:numId w:val="3"/>
          <w:ilvl w:val="0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Общие положения</w:t>
      </w:r>
      <w:r>
        <w:rPr>
          <w:rFonts w:ascii="Times New Roman" w:hAnsi="Times New Roman" w:cs="Times New Roman"/>
          <w:b/>
          <w:sz w:val="16"/>
          <w:szCs w:val="16"/>
        </w:rPr>
      </w:r>
    </w:p>
    <w:p>
      <w:pPr>
        <w:pStyle w:val="Normal"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</w:r>
    </w:p>
    <w:tbl>
      <w:tblPr>
        <w:tblW w:w="0" w:type="auto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</w:tblPr>
      <w:tblGrid>
        <w:gridCol w:w="3403"/>
        <w:gridCol w:w="11907"/>
      </w:tblGrid>
      <w:tr>
        <w:trPr>
          <w:trHeight w:val="133"/>
        </w:trPr>
        <w:tc>
          <w:tcPr>
            <w:tcW w:w="3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Ответственный орган: </w:t>
            </w:r>
          </w:p>
        </w:tc>
        <w:tc>
          <w:tcPr>
            <w:tcW w:w="1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Наименование ОИВ: МБУ «ЦФКИС», 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заместитель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директор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а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Дудко Юлия Юрьевна</w:t>
            </w:r>
          </w:p>
        </w:tc>
      </w:tr>
      <w:tr>
        <w:trPr>
          <w:trHeight w:val="80"/>
        </w:trPr>
        <w:tc>
          <w:tcPr>
            <w:tcW w:w="3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Связь с муниципальной программой:</w:t>
            </w:r>
          </w:p>
        </w:tc>
        <w:tc>
          <w:tcPr>
            <w:tcW w:w="1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Муниципальная программа «Развитие физической культуры и спорта на территории Ивнянского района»</w:t>
            </w:r>
          </w:p>
        </w:tc>
      </w:tr>
    </w:tbl>
    <w:p>
      <w:pPr>
        <w:pStyle w:val="Normal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</w:p>
    <w:p>
      <w:pPr>
        <w:pStyle w:val="179"/>
        <w:numPr>
          <w:numId w:val="3"/>
          <w:ilvl w:val="0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16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Показатели комплекса процессных мероприятий 4</w:t>
      </w:r>
      <w:r>
        <w:rPr>
          <w:rFonts w:ascii="Times New Roman" w:hAnsi="Times New Roman" w:cs="Times New Roman"/>
          <w:b/>
          <w:sz w:val="16"/>
          <w:szCs w:val="27"/>
        </w:rPr>
      </w:r>
    </w:p>
    <w:p>
      <w:pPr>
        <w:pStyle w:val="179"/>
        <w:spacing w:after="0" w:line="240" w:lineRule="auto"/>
        <w:ind w:left="0"/>
        <w:rPr>
          <w:rFonts w:ascii="Times New Roman" w:hAnsi="Times New Roman" w:cs="Times New Roman"/>
          <w:b/>
          <w:sz w:val="16"/>
          <w:szCs w:val="27"/>
        </w:rPr>
      </w:pPr>
      <w:r>
        <w:rPr>
          <w:rFonts w:ascii="Times New Roman" w:hAnsi="Times New Roman" w:cs="Times New Roman"/>
          <w:b/>
          <w:sz w:val="16"/>
          <w:szCs w:val="27"/>
        </w:rPr>
      </w:r>
    </w:p>
    <w:tbl>
      <w:tblPr>
        <w:tblW w:w="0" w:type="auto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</w:tblPr>
      <w:tblGrid>
        <w:gridCol w:w="572"/>
        <w:gridCol w:w="1981"/>
        <w:gridCol w:w="1134"/>
        <w:gridCol w:w="850"/>
        <w:gridCol w:w="992"/>
        <w:gridCol w:w="992"/>
        <w:gridCol w:w="709"/>
        <w:gridCol w:w="709"/>
        <w:gridCol w:w="708"/>
        <w:gridCol w:w="709"/>
        <w:gridCol w:w="709"/>
        <w:gridCol w:w="709"/>
        <w:gridCol w:w="708"/>
        <w:gridCol w:w="2411"/>
        <w:gridCol w:w="1417"/>
      </w:tblGrid>
      <w:tr>
        <w:trPr>
          <w:trHeight w:val="286"/>
        </w:trPr>
        <w:tc>
          <w:tcPr>
            <w:tcW w:w="5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</w:t>
            </w:r>
          </w:p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п/п</w:t>
            </w:r>
          </w:p>
        </w:tc>
        <w:tc>
          <w:tcPr>
            <w:tcW w:w="19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показателя/задачи</w:t>
            </w:r>
          </w:p>
        </w:tc>
        <w:tc>
          <w:tcPr>
            <w:tcW w:w="113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Признак 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озрастания/ убывания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Уровень показателя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Единица измерения</w:t>
            </w:r>
          </w:p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(по ОКЕИ)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Базовое значение</w:t>
            </w:r>
          </w:p>
        </w:tc>
        <w:tc>
          <w:tcPr>
            <w:tcW w:w="42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Значение показателей по годам</w:t>
            </w:r>
          </w:p>
        </w:tc>
        <w:tc>
          <w:tcPr>
            <w:tcW w:w="24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Ответственный за достижение показателя</w:t>
            </w:r>
          </w:p>
        </w:tc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Информационная система</w:t>
            </w:r>
          </w:p>
        </w:tc>
      </w:tr>
      <w:tr>
        <w:trPr>
          <w:trHeight w:val="77"/>
        </w:trPr>
        <w:tc>
          <w:tcPr>
            <w:tcW w:w="5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9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134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значение</w:t>
            </w:r>
          </w:p>
        </w:tc>
        <w:tc>
          <w:tcPr>
            <w:tcW w:w="70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год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2025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2028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2029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2030</w:t>
            </w:r>
          </w:p>
        </w:tc>
        <w:tc>
          <w:tcPr>
            <w:tcW w:w="24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rPr>
          <w:trHeight w:val="144"/>
        </w:trPr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12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13</w:t>
            </w:r>
          </w:p>
        </w:tc>
        <w:tc>
          <w:tcPr>
            <w:tcW w:w="2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15</w:t>
            </w:r>
          </w:p>
        </w:tc>
      </w:tr>
      <w:tr>
        <w:trPr>
          <w:trHeight w:val="243"/>
        </w:trPr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</w:t>
            </w:r>
          </w:p>
        </w:tc>
        <w:tc>
          <w:tcPr>
            <w:tcW w:w="14738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«Исполнение муниципальных функций Дома спорта с. Новенькое в соответствии с действующим законодательством»</w:t>
            </w:r>
          </w:p>
        </w:tc>
      </w:tr>
      <w:tr>
        <w:trPr>
          <w:trHeight w:val="428"/>
        </w:trPr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1.1</w:t>
            </w:r>
          </w:p>
        </w:tc>
        <w:tc>
          <w:tcPr>
            <w:tcW w:w="1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платных услуг населению Ивнянского района оказанных плавательным бассейном п. Ивня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Прогрессирующий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КМП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Тыс. руб.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115,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118,5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122,0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125,7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129,4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133,3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137,3</w:t>
            </w:r>
          </w:p>
        </w:tc>
        <w:tc>
          <w:tcPr>
            <w:tcW w:w="2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МКУ «ЦФКИС»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</w:tr>
    </w:tbl>
    <w:p>
      <w:pPr>
        <w:pStyle w:val="179"/>
        <w:spacing w:after="0" w:line="240" w:lineRule="auto"/>
        <w:ind w:left="0"/>
        <w:rPr>
          <w:rFonts w:ascii="Times New Roman" w:hAnsi="Times New Roman" w:cs="Times New Roman"/>
          <w:sz w:val="16"/>
          <w:szCs w:val="27"/>
        </w:rPr>
      </w:pPr>
      <w:r>
        <w:rPr>
          <w:rFonts w:ascii="Times New Roman" w:hAnsi="Times New Roman" w:cs="Times New Roman"/>
          <w:sz w:val="16"/>
          <w:szCs w:val="27"/>
        </w:rPr>
      </w:r>
    </w:p>
    <w:p>
      <w:pPr>
        <w:pStyle w:val="179"/>
        <w:numPr>
          <w:numId w:val="3"/>
          <w:ilvl w:val="0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16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Помесячный план достижения показателей комплекса процессных мероприятий 4 в 2025 году</w:t>
      </w:r>
      <w:r>
        <w:rPr>
          <w:rFonts w:ascii="Times New Roman" w:hAnsi="Times New Roman" w:cs="Times New Roman"/>
          <w:b/>
          <w:sz w:val="16"/>
          <w:szCs w:val="27"/>
        </w:rPr>
      </w:r>
    </w:p>
    <w:p>
      <w:pPr>
        <w:pStyle w:val="179"/>
        <w:spacing w:after="0" w:line="240" w:lineRule="auto"/>
        <w:ind w:left="0"/>
        <w:rPr>
          <w:rFonts w:ascii="Times New Roman" w:hAnsi="Times New Roman" w:cs="Times New Roman"/>
          <w:b/>
          <w:sz w:val="16"/>
          <w:szCs w:val="27"/>
        </w:rPr>
      </w:pPr>
      <w:r>
        <w:rPr>
          <w:rFonts w:ascii="Times New Roman" w:hAnsi="Times New Roman" w:cs="Times New Roman"/>
          <w:b/>
          <w:sz w:val="16"/>
          <w:szCs w:val="27"/>
        </w:rPr>
      </w:r>
    </w:p>
    <w:tbl>
      <w:tblPr>
        <w:tblW w:w="5043" w:type="pct"/>
        <w:tblInd w:w="-136" w:type="dxa"/>
        <w:tblLayout w:type="fixed"/>
        <w:tblCellMar>
          <w:left w:w="6" w:type="dxa"/>
          <w:top w:w="0" w:type="dxa"/>
          <w:right w:w="6" w:type="dxa"/>
          <w:bottom w:w="0" w:type="dxa"/>
        </w:tblCellMar>
      </w:tblPr>
      <w:tblGrid>
        <w:gridCol w:w="534"/>
        <w:gridCol w:w="4577"/>
        <w:gridCol w:w="1056"/>
        <w:gridCol w:w="1540"/>
        <w:gridCol w:w="521"/>
        <w:gridCol w:w="523"/>
        <w:gridCol w:w="522"/>
        <w:gridCol w:w="523"/>
        <w:gridCol w:w="522"/>
        <w:gridCol w:w="522"/>
        <w:gridCol w:w="523"/>
        <w:gridCol w:w="522"/>
        <w:gridCol w:w="523"/>
        <w:gridCol w:w="522"/>
        <w:gridCol w:w="534"/>
        <w:gridCol w:w="1847"/>
      </w:tblGrid>
      <w:tr>
        <w:trPr>
          <w:trHeight w:val="187"/>
          <w:tblHeader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п/п</w:t>
            </w:r>
          </w:p>
        </w:tc>
        <w:tc>
          <w:tcPr>
            <w:tcW w:w="45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Показатели комплекса процессных мероприятий</w:t>
            </w:r>
          </w:p>
        </w:tc>
        <w:tc>
          <w:tcPr>
            <w:tcW w:w="10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Уровень показателя</w:t>
            </w:r>
          </w:p>
        </w:tc>
        <w:tc>
          <w:tcPr>
            <w:tcW w:w="15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(по ОКЕИ)</w:t>
            </w:r>
          </w:p>
        </w:tc>
        <w:tc>
          <w:tcPr>
            <w:tcW w:w="5757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Плановые знач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ения по месяцам</w:t>
            </w:r>
          </w:p>
        </w:tc>
        <w:tc>
          <w:tcPr>
            <w:tcW w:w="18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 конец 2025года</w:t>
            </w:r>
          </w:p>
        </w:tc>
      </w:tr>
      <w:tr>
        <w:trPr>
          <w:trHeight w:val="77"/>
          <w:tblHeader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45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0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янв.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фев.</w:t>
            </w:r>
          </w:p>
        </w:tc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март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апр.</w:t>
            </w:r>
          </w:p>
        </w:tc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май</w:t>
            </w:r>
          </w:p>
        </w:tc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июнь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июль</w:t>
            </w:r>
          </w:p>
        </w:tc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авг.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сен.</w:t>
            </w:r>
          </w:p>
        </w:tc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окт.</w:t>
            </w:r>
          </w:p>
        </w:tc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ноя.</w:t>
            </w:r>
          </w:p>
        </w:tc>
        <w:tc>
          <w:tcPr>
            <w:tcW w:w="18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rPr>
          <w:trHeight w:val="64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</w:t>
            </w:r>
          </w:p>
        </w:tc>
        <w:tc>
          <w:tcPr>
            <w:tcW w:w="14777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«Исполнение муниципальных функций Дома спорта с. Новенькое в соответствии с действующим законодательством»</w:t>
            </w:r>
          </w:p>
        </w:tc>
      </w:tr>
      <w:tr>
        <w:trPr>
          <w:trHeight w:val="202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tLeas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1.1.</w:t>
            </w:r>
          </w:p>
        </w:tc>
        <w:tc>
          <w:tcPr>
            <w:tcW w:w="4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ind w:left="9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платных услуг населению Ивнянско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 района оказанных Домам спорта с.Новенькое 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КМП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Тыс. руб. 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</w:t>
            </w:r>
          </w:p>
        </w:tc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</w:t>
            </w:r>
          </w:p>
        </w:tc>
        <w:tc>
          <w:tcPr>
            <w:tcW w:w="1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118,5</w:t>
            </w:r>
          </w:p>
        </w:tc>
      </w:tr>
    </w:tbl>
    <w:p>
      <w:pPr>
        <w:pStyle w:val="179"/>
        <w:spacing w:after="0" w:line="240" w:lineRule="auto"/>
        <w:ind w:left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</w:r>
    </w:p>
    <w:p>
      <w:pPr>
        <w:pStyle w:val="179"/>
        <w:numPr>
          <w:numId w:val="3"/>
          <w:ilvl w:val="0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16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br w:type="page" w:clear="all"/>
      </w:r>
      <w:r>
        <w:rPr>
          <w:rFonts w:ascii="Times New Roman" w:hAnsi="Times New Roman" w:cs="Times New Roman"/>
          <w:b/>
          <w:sz w:val="27"/>
          <w:szCs w:val="27"/>
        </w:rPr>
        <w:t xml:space="preserve">Перечень мероприятий (результатов) комплекса процессных мероприятий 4</w:t>
      </w:r>
      <w:r>
        <w:rPr>
          <w:rFonts w:ascii="Times New Roman" w:hAnsi="Times New Roman" w:cs="Times New Roman"/>
          <w:b/>
          <w:sz w:val="16"/>
          <w:szCs w:val="27"/>
        </w:rPr>
      </w:r>
    </w:p>
    <w:p>
      <w:pPr>
        <w:pStyle w:val="179"/>
        <w:spacing w:after="0" w:line="240" w:lineRule="auto"/>
        <w:ind w:left="0"/>
        <w:rPr>
          <w:rFonts w:ascii="Times New Roman" w:hAnsi="Times New Roman" w:cs="Times New Roman"/>
          <w:b/>
          <w:sz w:val="16"/>
          <w:szCs w:val="27"/>
        </w:rPr>
      </w:pPr>
      <w:r>
        <w:rPr>
          <w:rFonts w:ascii="Times New Roman" w:hAnsi="Times New Roman" w:cs="Times New Roman"/>
          <w:b/>
          <w:sz w:val="16"/>
          <w:szCs w:val="27"/>
        </w:rPr>
      </w:r>
    </w:p>
    <w:tbl>
      <w:tblPr>
        <w:tblW w:w="0" w:type="auto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</w:tblPr>
      <w:tblGrid>
        <w:gridCol w:w="678"/>
        <w:gridCol w:w="2725"/>
        <w:gridCol w:w="1559"/>
        <w:gridCol w:w="1276"/>
        <w:gridCol w:w="1134"/>
        <w:gridCol w:w="567"/>
        <w:gridCol w:w="708"/>
        <w:gridCol w:w="709"/>
        <w:gridCol w:w="709"/>
        <w:gridCol w:w="709"/>
        <w:gridCol w:w="708"/>
        <w:gridCol w:w="851"/>
        <w:gridCol w:w="2977"/>
      </w:tblGrid>
      <w:tr>
        <w:trPr>
          <w:trHeight w:val="184"/>
        </w:trPr>
        <w:tc>
          <w:tcPr>
            <w:tcW w:w="6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п/п</w:t>
            </w:r>
          </w:p>
        </w:tc>
        <w:tc>
          <w:tcPr>
            <w:tcW w:w="27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мероприятия (результата)</w:t>
            </w: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Тип мероприятий (результата)</w:t>
            </w:r>
          </w:p>
        </w:tc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Единица измерения (п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 ОКЕИ)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Базовое значение</w:t>
            </w:r>
          </w:p>
        </w:tc>
        <w:tc>
          <w:tcPr>
            <w:tcW w:w="439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Значения мероприятия (результата) по годам</w:t>
            </w:r>
          </w:p>
        </w:tc>
        <w:tc>
          <w:tcPr>
            <w:tcW w:w="29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Связь с показателями комплекса процессных мероприятий</w:t>
            </w:r>
          </w:p>
        </w:tc>
      </w:tr>
      <w:tr>
        <w:trPr>
          <w:trHeight w:val="130"/>
        </w:trPr>
        <w:tc>
          <w:tcPr>
            <w:tcW w:w="6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27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13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значение</w:t>
            </w:r>
          </w:p>
        </w:tc>
        <w:tc>
          <w:tcPr>
            <w:tcW w:w="56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год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2026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2027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2028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2029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2030</w:t>
            </w:r>
          </w:p>
        </w:tc>
        <w:tc>
          <w:tcPr>
            <w:tcW w:w="297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rPr>
          <w:trHeight w:val="147"/>
        </w:trPr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</w:t>
            </w: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11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12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13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14</w:t>
            </w:r>
          </w:p>
        </w:tc>
      </w:tr>
      <w:tr>
        <w:trPr>
          <w:trHeight w:val="197"/>
        </w:trPr>
        <w:tc>
          <w:tcPr>
            <w:tcW w:w="15310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«Исполнение муниципальных функций Дома спорта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с. Новенькое в соответствии с действующим законодательством»</w:t>
            </w:r>
          </w:p>
        </w:tc>
      </w:tr>
      <w:tr>
        <w:trPr>
          <w:trHeight w:val="198"/>
        </w:trPr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</w:t>
            </w:r>
          </w:p>
        </w:tc>
        <w:tc>
          <w:tcPr>
            <w:tcW w:w="2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«Обеспечена деятельность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 w:type="textWrapping" w:clear="all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функционирование Дома спорта с. Новенькое»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текущей деятельности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Единиц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</w:p>
        </w:tc>
        <w:tc>
          <w:tcPr>
            <w:tcW w:w="2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платных услуг населению Ивнянс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кого района оказанных плавательным бассейном п. Ивня</w:t>
            </w:r>
          </w:p>
        </w:tc>
      </w:tr>
      <w:tr>
        <w:trPr>
          <w:trHeight w:val="198"/>
        </w:trPr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4632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материального обеспечения плавательного бассейна п. Ивня, включая фонд оплаты труда, эксплуатацию и текущий ремонт,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оплату коммунальных услуг и иных хозяйственных расходов. 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</w:p>
    <w:p>
      <w:pPr>
        <w:pStyle w:val="179"/>
        <w:numPr>
          <w:numId w:val="3"/>
          <w:ilvl w:val="0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16"/>
          <w:szCs w:val="20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Финансовое </w:t>
      </w:r>
      <w:r>
        <w:rPr>
          <w:rFonts w:ascii="Times New Roman" w:hAnsi="Times New Roman" w:cs="Times New Roman"/>
          <w:b/>
          <w:sz w:val="27"/>
          <w:szCs w:val="27"/>
        </w:rPr>
        <w:t xml:space="preserve">обеспечение комплекса процессных мероприятий 4</w:t>
      </w:r>
      <w:r>
        <w:rPr>
          <w:rFonts w:ascii="Times New Roman" w:hAnsi="Times New Roman" w:cs="Times New Roman"/>
          <w:b/>
          <w:sz w:val="16"/>
          <w:szCs w:val="20"/>
        </w:rPr>
      </w:r>
    </w:p>
    <w:p>
      <w:pPr>
        <w:pStyle w:val="Normal"/>
        <w:spacing w:after="0" w:line="240" w:lineRule="auto"/>
        <w:rPr>
          <w:rFonts w:ascii="Times New Roman" w:hAnsi="Times New Roman" w:cs="Times New Roman"/>
          <w:b/>
          <w:sz w:val="16"/>
          <w:szCs w:val="20"/>
        </w:rPr>
      </w:pPr>
      <w:r>
        <w:rPr>
          <w:rFonts w:ascii="Times New Roman" w:hAnsi="Times New Roman" w:cs="Times New Roman"/>
          <w:b/>
          <w:sz w:val="16"/>
          <w:szCs w:val="20"/>
        </w:rPr>
      </w:r>
    </w:p>
    <w:tbl>
      <w:tblPr>
        <w:tblW w:w="0" w:type="auto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</w:tblPr>
      <w:tblGrid>
        <w:gridCol w:w="7513"/>
        <w:gridCol w:w="1701"/>
        <w:gridCol w:w="851"/>
        <w:gridCol w:w="850"/>
        <w:gridCol w:w="851"/>
        <w:gridCol w:w="850"/>
        <w:gridCol w:w="851"/>
        <w:gridCol w:w="850"/>
        <w:gridCol w:w="993"/>
      </w:tblGrid>
      <w:tr>
        <w:trPr>
          <w:trHeight w:val="255"/>
          <w:tblHeader/>
        </w:trPr>
        <w:tc>
          <w:tcPr>
            <w:tcW w:w="75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мероприятия (результата) /</w:t>
            </w:r>
          </w:p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источник финансового обеспечения</w:t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Код бюджетной классификации </w:t>
            </w:r>
          </w:p>
        </w:tc>
        <w:tc>
          <w:tcPr>
            <w:tcW w:w="609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Объем финансового обеспечения</w:t>
            </w:r>
          </w:p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 годам реализации, тыс. рублей</w:t>
            </w:r>
          </w:p>
        </w:tc>
      </w:tr>
      <w:tr>
        <w:trPr>
          <w:trHeight w:val="106"/>
          <w:tblHeader/>
        </w:trPr>
        <w:tc>
          <w:tcPr>
            <w:tcW w:w="75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2029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2030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Всего</w:t>
            </w:r>
          </w:p>
        </w:tc>
      </w:tr>
      <w:tr>
        <w:trPr>
          <w:trHeight w:val="119"/>
        </w:trPr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</w:t>
            </w:r>
          </w:p>
        </w:tc>
      </w:tr>
      <w:tr>
        <w:trPr>
          <w:trHeight w:val="119"/>
        </w:trPr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Комплекс процессных мероприятий «Обеспечение деятельности Дома спорта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textWrapping" w:clear="all"/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с. Новенькое» (всего), в том числе:</w:t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06 4 04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5073,2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4380,0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4430,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4607,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4791,5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4983,1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28264,8</w:t>
            </w:r>
          </w:p>
        </w:tc>
      </w:tr>
      <w:tr>
        <w:trPr>
          <w:trHeight w:val="119"/>
        </w:trPr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Местный бюджет (всего), из них: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5073,2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4380,0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4430,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4607,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4791,5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4983,1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28264,8</w:t>
            </w:r>
          </w:p>
        </w:tc>
      </w:tr>
      <w:tr>
        <w:trPr>
          <w:trHeight w:val="119"/>
        </w:trPr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119"/>
        </w:trPr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межбюджетные трансферты из областного бюджета (справочно)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119"/>
        </w:trPr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местный бюджет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5073,2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4380,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4430,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4607,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4791,5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4983,1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28264,8</w:t>
            </w:r>
          </w:p>
        </w:tc>
      </w:tr>
      <w:tr>
        <w:trPr>
          <w:trHeight w:val="119"/>
        </w:trPr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Внебюджетные источники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233"/>
        </w:trPr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«Обеспечена деятельность и функционирование Дома спорта с. Новенькое»</w:t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eastAsia="en-US"/>
              </w:rPr>
              <w:t xml:space="preserve">110 28 91</w:t>
            </w:r>
          </w:p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eastAsia="en-US"/>
              </w:rPr>
              <w:t xml:space="preserve">06 4 04</w:t>
            </w:r>
          </w:p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20"/>
                <w:lang w:eastAsia="en-US"/>
              </w:rPr>
              <w:t xml:space="preserve">ХХХХХ ХХХ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5073,2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4380,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4430,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4607,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4791,5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4983,1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28264,8</w:t>
            </w:r>
          </w:p>
        </w:tc>
      </w:tr>
      <w:tr>
        <w:trPr>
          <w:trHeight w:val="100"/>
        </w:trPr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Местный бюджет (всего), из них: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5073,2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4380,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4430,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4607,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4791,5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4983,1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28264,8</w:t>
            </w:r>
          </w:p>
        </w:tc>
      </w:tr>
      <w:tr>
        <w:trPr>
          <w:trHeight w:val="127"/>
        </w:trPr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межбюджетные трансферты из федерального бюджета (справочно)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127"/>
        </w:trPr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межбюджетные трансферты из областного бюджета (справочно)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127"/>
        </w:trPr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местный бюджет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5073,2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4380,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4430,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4607,0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4791,5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4983,1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28264,8</w:t>
            </w:r>
          </w:p>
        </w:tc>
      </w:tr>
      <w:tr>
        <w:trPr>
          <w:trHeight w:val="127"/>
        </w:trPr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очники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  <w:tr>
        <w:trPr>
          <w:trHeight w:val="127"/>
        </w:trPr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Нераспределенный резерв (местный бюджет)</w:t>
            </w:r>
          </w:p>
        </w:tc>
        <w:tc>
          <w:tcPr>
            <w:tcW w:w="170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</w:t>
            </w:r>
          </w:p>
        </w:tc>
      </w:tr>
    </w:tbl>
    <w:p>
      <w:pPr>
        <w:pStyle w:val="Normal"/>
        <w:spacing w:after="0"/>
        <w:rPr>
          <w:vanish/>
        </w:rPr>
      </w:pPr>
      <w:r>
        <w:rPr>
          <w:vanish/>
        </w:rPr>
      </w:r>
    </w:p>
    <w:p>
      <w:pPr>
        <w:pStyle w:val="Normal"/>
        <w:spacing w:after="0" w:line="240" w:lineRule="auto"/>
        <w:ind w:left="1077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Normal"/>
        <w:spacing w:after="0" w:line="240" w:lineRule="auto"/>
        <w:ind w:left="1077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Normal"/>
        <w:spacing w:after="0" w:line="240" w:lineRule="auto"/>
        <w:ind w:left="1077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Normal"/>
        <w:spacing w:after="0" w:line="240" w:lineRule="auto"/>
        <w:ind w:left="1077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Normal"/>
        <w:spacing w:after="0" w:line="240" w:lineRule="auto"/>
        <w:ind w:left="1077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Normal"/>
        <w:spacing w:after="0" w:line="240" w:lineRule="auto"/>
        <w:ind w:left="1077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Приложение</w:t>
      </w:r>
    </w:p>
    <w:p>
      <w:pPr>
        <w:pStyle w:val="Normal"/>
        <w:spacing w:after="0"/>
        <w:ind w:left="10773"/>
        <w:jc w:val="center"/>
        <w:rPr>
          <w:b/>
          <w:vanish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 паспорту комплекса процессных мероприятий «Обеспечение деятельности Дома спорта </w:t>
        <w:br w:type="textWrapping" w:clear="all"/>
        <w:t xml:space="preserve">с. Новенькое»</w:t>
      </w:r>
      <w:r>
        <w:rPr>
          <w:b/>
          <w:vanish/>
          <w:sz w:val="26"/>
          <w:szCs w:val="26"/>
        </w:rPr>
      </w:r>
    </w:p>
    <w:p>
      <w:pPr>
        <w:pStyle w:val="Normal"/>
        <w:spacing w:before="240" w:after="12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</w:r>
    </w:p>
    <w:p>
      <w:pPr>
        <w:pStyle w:val="179"/>
        <w:numPr>
          <w:numId w:val="3"/>
          <w:ilvl w:val="0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План реализации комплекса процессных мероприятий 4</w:t>
      </w:r>
      <w:r>
        <w:rPr>
          <w:rFonts w:ascii="Times New Roman" w:hAnsi="Times New Roman" w:cs="Times New Roman"/>
          <w:b/>
          <w:sz w:val="16"/>
          <w:szCs w:val="16"/>
        </w:rPr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</w:r>
    </w:p>
    <w:tbl>
      <w:tblPr>
        <w:tblW w:w="0" w:type="auto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</w:tblPr>
      <w:tblGrid>
        <w:gridCol w:w="8790"/>
        <w:gridCol w:w="1405"/>
        <w:gridCol w:w="3130"/>
        <w:gridCol w:w="1985"/>
      </w:tblGrid>
      <w:tr>
        <w:trPr>
          <w:trHeight w:val="646"/>
          <w:tblHeader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Задача, 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ероприятие (результат) /</w:t>
            </w:r>
          </w:p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контрольная точка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Дата наступления контрольной точки</w:t>
            </w:r>
          </w:p>
        </w:tc>
        <w:tc>
          <w:tcPr>
            <w:tcW w:w="3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Ответственный исполнитель</w:t>
            </w:r>
          </w:p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(Ф.И.О., должность, наименование ОИВ субъекта Российской Федерации (местной администрации муниципального образования), иного государственного (муниципал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ьного) органа, организации)</w:t>
            </w:r>
            <w:r>
              <w:rPr>
                <w:rStyle w:val="UserStyle_14"/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Вид подтверждающего документа</w:t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</w:t>
            </w:r>
          </w:p>
        </w:tc>
        <w:tc>
          <w:tcPr>
            <w:tcW w:w="3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</w:t>
            </w:r>
          </w:p>
        </w:tc>
      </w:tr>
      <w:tr>
        <w:trPr>
          <w:trHeight w:val="119"/>
        </w:trPr>
        <w:tc>
          <w:tcPr>
            <w:tcW w:w="153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«Исполнение муниципальных функций Дома спорта с. Новенькое в соответствии с действующим законодательством»</w:t>
            </w:r>
          </w:p>
        </w:tc>
      </w:tr>
      <w:tr>
        <w:trPr>
          <w:trHeight w:val="119"/>
        </w:trPr>
        <w:tc>
          <w:tcPr>
            <w:tcW w:w="153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«Обеспечена деятельность и функционирование Дома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спорта с. Новенькое» в 2025 году реализации</w:t>
            </w:r>
          </w:p>
        </w:tc>
      </w:tr>
      <w:tr>
        <w:trPr>
          <w:trHeight w:val="378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заработная плата по категориям работников, не попадающим под повышение по указам Презедента РФ 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31.12.2025</w:t>
            </w:r>
          </w:p>
        </w:tc>
        <w:tc>
          <w:tcPr>
            <w:tcW w:w="31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МБУ «ЦФКИС», директор Дудко Юлия Юрьевна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</w:t>
            </w:r>
          </w:p>
        </w:tc>
        <w:tc>
          <w:tcPr>
            <w:tcW w:w="19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Квартальные, полугодовые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 w:type="textWrapping" w:clear="all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годовые отчёты</w:t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беспечено начисление на выплаты по оплате труда категориям работников, не попадающим под повышение по указам Президента РФ 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31.12.2025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беспечены выплаты на транспортные услуги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31.12.2025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онтрольная точка 1.4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оплата текущего ремонта оборудования и инвентаря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31.12.2025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оплата текущего ремонта зданий и сооружений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31.12.2025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оплата прочих расходов, услуг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025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1.7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выплата пособий за первые три дня временной нетрудоспособности «не указанных» категорий работников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31.12.2025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плата на приобретение оборудования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31.12.2025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1.9.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Капиталь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ный ремонт в рамках физической культуры и массового спорта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31.12.2025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«Обеспечена деятельность и функционирование Дома спорта с. Новенькое» в 2026 году реализации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31.12.2026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1.9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аработная плата по категориям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работников, не попадающим под повышение по указам Презедента РФ 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31.12.2026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беспечено начисление на выплаты по оплате труда категориям работников, не попадающим под повышение по указам Президента РФ 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31.12.2026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чка 1.11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беспечены выплаты на транспортные услуги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31.12.2026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1.12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оплата текущего ремонта оборудования и инвентаря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31.12.2026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1.13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оплата текущего ремонта зданий и сооружений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31.12.2026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нтрольная точка 1.14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оплата прочих расходов, услуг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31.12.2026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1.15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выплата пособий за первые три дня временной нетрудоспособности «не указанных» категорий работников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31.12.2026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1.16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плата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оборудования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31.12.2026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«Обеспечена деятельность и функционирование Дома спорта с. Новенькое» в 2027 году реализации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31.12.2027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1.17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заработная плата по категориям работников, не попад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ающим под повышение по указам Президента РФ 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31.12.2027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1.18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беспечено начисление на выплаты по оплате труда категориям работников, не попадающим под повышение по указам Президента РФ 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31.12.2027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беспечены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ыплаты на транспортные услуги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31.12.2027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1.20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оплата текущего ремонта оборудования и инвентаря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31.12.2027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1.21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оплата текущего ремонта зданий и сооружений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31.12.2027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1.22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оплата прочих расходов, услуг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31.12.2027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1.23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беспечена выплата пособий за первые три дня временной нетрудоспособности «не указанных» категорий работников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31.12.2027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rPr>
          <w:trHeight w:val="119"/>
        </w:trPr>
        <w:tc>
          <w:tcPr>
            <w:tcW w:w="8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Контрольная точка 1.24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плата на приобретение оборудов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ания</w:t>
            </w:r>
          </w:p>
        </w:tc>
        <w:tc>
          <w:tcPr>
            <w:tcW w:w="1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31.12.2027</w:t>
            </w:r>
          </w:p>
        </w:tc>
        <w:tc>
          <w:tcPr>
            <w:tcW w:w="31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pStyle w:val="Normal"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</w:r>
    </w:p>
    <w:p>
      <w:pPr>
        <w:pStyle w:val="Normal"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</w:r>
    </w:p>
    <w:p>
      <w:pPr>
        <w:pStyle w:val="Normal"/>
        <w:pageBreakBefore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</w:r>
    </w:p>
    <w:tbl>
      <w:tblPr>
        <w:tblW w:w="0" w:type="auto"/>
        <w:tblInd w:w="9747" w:type="dxa"/>
        <w:tblLayout w:type="fixed"/>
        <w:tblCellMar>
          <w:left w:w="108" w:type="dxa"/>
          <w:top w:w="0" w:type="dxa"/>
          <w:right w:w="108" w:type="dxa"/>
          <w:bottom w:w="0" w:type="dxa"/>
        </w:tblCellMar>
      </w:tblPr>
      <w:tblGrid>
        <w:gridCol w:w="4823"/>
      </w:tblGrid>
      <w:tr>
        <w:tc>
          <w:tcPr>
            <w:tcW w:w="482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spacing w:after="0" w:line="240" w:lineRule="auto"/>
              <w:jc w:val="center"/>
              <w:rPr>
                <w:rFonts w:ascii="Times New Roman" w:hAnsi="Times New Roman" w:eastAsia="Calibri" w:cs="DejaVu Sans"/>
                <w:b/>
                <w:bCs/>
                <w:color w:val="000000"/>
                <w:sz w:val="25"/>
                <w:szCs w:val="25"/>
                <w:lang w:bidi="hi-IN"/>
              </w:rPr>
            </w:pPr>
            <w:r>
              <w:rPr>
                <w:rFonts w:ascii="Times New Roman" w:hAnsi="Times New Roman" w:eastAsia="Calibri" w:cs="DejaVu Sans"/>
                <w:b/>
                <w:bCs/>
                <w:color w:val="000000"/>
                <w:sz w:val="25"/>
                <w:szCs w:val="25"/>
                <w:lang w:bidi="hi-IN"/>
              </w:rPr>
              <w:t xml:space="preserve">Приложение</w:t>
            </w:r>
          </w:p>
          <w:p>
            <w:pPr>
              <w:pStyle w:val="Normal"/>
              <w:spacing w:after="0" w:line="240" w:lineRule="auto"/>
              <w:jc w:val="center"/>
            </w:pPr>
            <w:r>
              <w:rPr>
                <w:rFonts w:ascii="Times New Roman" w:hAnsi="Times New Roman" w:eastAsia="Calibri" w:cs="DejaVu Sans"/>
                <w:b/>
                <w:bCs/>
                <w:color w:val="000000"/>
                <w:sz w:val="25"/>
                <w:szCs w:val="25"/>
                <w:lang w:bidi="hi-IN"/>
              </w:rPr>
              <w:t xml:space="preserve">к муниципальной программе Ивнянского района «</w:t>
            </w:r>
            <w:r>
              <w:rPr>
                <w:rFonts w:ascii="Times New Roman" w:hAnsi="Times New Roman" w:eastAsia="Times New Roman" w:cs="DejaVu Sans"/>
                <w:b/>
                <w:sz w:val="27"/>
                <w:szCs w:val="27"/>
              </w:rPr>
              <w:t xml:space="preserve">Развитие физической культуры и спорта на территории Ивнянского района</w:t>
            </w:r>
            <w:r>
              <w:rPr>
                <w:rFonts w:ascii="Times New Roman" w:hAnsi="Times New Roman" w:eastAsia="Calibri" w:cs="DejaVu Sans"/>
                <w:b/>
                <w:bCs/>
                <w:color w:val="000000"/>
                <w:sz w:val="25"/>
                <w:szCs w:val="25"/>
                <w:lang w:bidi="hi-IN"/>
              </w:rPr>
              <w:t xml:space="preserve">»</w:t>
            </w:r>
          </w:p>
        </w:tc>
      </w:tr>
    </w:tbl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Сведения о методике расчёта</w:t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показателей конечного результата муниципальной программы</w:t>
      </w:r>
      <w:r>
        <w:rPr>
          <w:rFonts w:ascii="Times New Roman" w:hAnsi="Times New Roman" w:cs="Times New Roman"/>
          <w:b/>
          <w:sz w:val="16"/>
          <w:szCs w:val="16"/>
        </w:rPr>
      </w:r>
    </w:p>
    <w:p>
      <w:pPr>
        <w:pStyle w:val="Normal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</w:r>
    </w:p>
    <w:tbl>
      <w:tblPr>
        <w:tblW w:w="0" w:type="auto"/>
        <w:tblInd w:w="-147" w:type="dxa"/>
        <w:tblLayout w:type="fixed"/>
        <w:tblCellMar>
          <w:left w:w="108" w:type="dxa"/>
          <w:top w:w="0" w:type="dxa"/>
          <w:right w:w="108" w:type="dxa"/>
          <w:bottom w:w="0" w:type="dxa"/>
        </w:tblCellMar>
      </w:tblPr>
      <w:tblGrid>
        <w:gridCol w:w="445"/>
        <w:gridCol w:w="1845"/>
        <w:gridCol w:w="1140"/>
        <w:gridCol w:w="1320"/>
        <w:gridCol w:w="1228"/>
        <w:gridCol w:w="1365"/>
        <w:gridCol w:w="1276"/>
        <w:gridCol w:w="1417"/>
        <w:gridCol w:w="1276"/>
        <w:gridCol w:w="1134"/>
        <w:gridCol w:w="1276"/>
        <w:gridCol w:w="1417"/>
      </w:tblGrid>
      <w:tr>
        <w:trPr>
          <w:trHeight w:val="1423"/>
          <w:tblHeader/>
        </w:trPr>
        <w:tc>
          <w:tcPr>
            <w:tcW w:w="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0"/>
              <w:jc w:val="center"/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п/п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0"/>
              <w:jc w:val="center"/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показателя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0"/>
              <w:jc w:val="center"/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Единица измерения    (по ОКЕИ)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0"/>
              <w:jc w:val="center"/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Определение показателя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extDirection w:val="lrTb"/>
            <w:vAlign w:val="top"/>
          </w:tcPr>
          <w:p>
            <w:pPr>
              <w:pStyle w:val="UserStyle_40"/>
              <w:jc w:val="center"/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Временные характеристики показателя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0"/>
              <w:jc w:val="center"/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Алгоритм формирования (формула) </w:t>
              <w:br w:type="textWrapping" w:clear="all"/>
              <w:t xml:space="preserve">и методологические пояснения к показателю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0"/>
              <w:jc w:val="center"/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Базовые показатели (используемые </w:t>
              <w:br w:type="textWrapping" w:clear="all"/>
              <w:t xml:space="preserve">в формуле)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0"/>
              <w:jc w:val="center"/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Метод сбора информации, индекс</w:t>
              <w:br w:type="textWrapping" w:clear="all"/>
              <w:t xml:space="preserve">форм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ы</w:t>
              <w:br w:type="textWrapping" w:clear="all"/>
              <w:t xml:space="preserve">отчетности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0"/>
              <w:jc w:val="center"/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Пункт Федерального плана статистических работ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0"/>
              <w:jc w:val="center"/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Ответственный за сбор данных по показателю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0"/>
              <w:jc w:val="center"/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Реквизиты акта (при наличии)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Style_40"/>
              <w:jc w:val="center"/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Срок представления годовой отчетной информации</w:t>
            </w:r>
          </w:p>
        </w:tc>
      </w:tr>
      <w:tr>
        <w:trPr>
          <w:trHeight w:val="140"/>
        </w:trPr>
        <w:tc>
          <w:tcPr>
            <w:tcW w:w="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4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7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12</w:t>
            </w:r>
          </w:p>
        </w:tc>
      </w:tr>
      <w:tr>
        <w:tc>
          <w:tcPr>
            <w:tcW w:w="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1.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Доля населения граждан Ивнянского района, сист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ематически занимающихся физической культурой и спортом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/>
              <w:jc w:val="center"/>
            </w:pPr>
            <w:r>
              <w:rPr>
                <w:rFonts w:ascii="Times New Roman" w:hAnsi="Times New Roman" w:eastAsia="Calibri" w:cs="Times New Roman"/>
                <w:iCs/>
                <w:sz w:val="18"/>
                <w:szCs w:val="18"/>
                <w:lang w:val="en-US" w:bidi="ar"/>
              </w:rPr>
              <w:t xml:space="preserve">Процент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/>
            </w:pPr>
            <w:r>
              <w:rPr>
                <w:rFonts w:ascii="Times New Roman" w:hAnsi="Times New Roman" w:eastAsia="Calibri" w:cs="Times New Roman"/>
                <w:iCs/>
                <w:sz w:val="18"/>
                <w:szCs w:val="18"/>
                <w:lang w:bidi="ar"/>
              </w:rPr>
              <w:t xml:space="preserve">Отражает долю граждан трудоспособного возраста, систематически занимающихся физической культурой и спортом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/>
              <w:jc w:val="center"/>
            </w:pPr>
            <w:r>
              <w:rPr>
                <w:rFonts w:ascii="Times New Roman" w:hAnsi="Times New Roman" w:eastAsia="Calibri" w:cs="Times New Roman"/>
                <w:iCs/>
                <w:sz w:val="18"/>
                <w:szCs w:val="18"/>
                <w:lang w:val="en-US" w:bidi="ar"/>
              </w:rPr>
              <w:t xml:space="preserve">Ежегодно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/>
              <w:jc w:val="center"/>
            </w:pPr>
            <w:r>
              <w:rPr>
                <w:rFonts w:ascii="Times New Roman" w:hAnsi="Times New Roman" w:eastAsia="Calibri" w:cs="Times New Roman"/>
                <w:iCs/>
                <w:sz w:val="18"/>
                <w:szCs w:val="18"/>
                <w:lang w:val="en-US" w:bidi="ar"/>
              </w:rPr>
              <w:t xml:space="preserve">Дз= Чз/Чн*100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/>
            </w:pPr>
            <w:r>
              <w:rPr>
                <w:rFonts w:ascii="Times New Roman" w:hAnsi="Times New Roman" w:eastAsia="Calibri" w:cs="Times New Roman"/>
                <w:iCs/>
                <w:sz w:val="18"/>
                <w:szCs w:val="18"/>
                <w:lang w:bidi="ar"/>
              </w:rPr>
              <w:t xml:space="preserve">Чз- численность занимающихся физической культурой и спортом  в </w:t>
            </w:r>
            <w:r>
              <w:rPr>
                <w:rFonts w:ascii="Times New Roman" w:hAnsi="Times New Roman" w:eastAsia="Calibri" w:cs="Times New Roman"/>
                <w:iCs/>
                <w:sz w:val="18"/>
                <w:szCs w:val="18"/>
                <w:lang w:bidi="ar"/>
              </w:rPr>
              <w:t xml:space="preserve">соответствии с данными федерального статистического наблюдения по форме 1-ФК «Сведения о физической культуре и спорте», чел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/>
            </w:pPr>
            <w:r>
              <w:rPr>
                <w:rFonts w:ascii="Times New Roman" w:hAnsi="Times New Roman" w:eastAsia="Calibri" w:cs="Times New Roman"/>
                <w:iCs/>
                <w:sz w:val="18"/>
                <w:szCs w:val="18"/>
                <w:lang w:bidi="ar"/>
              </w:rPr>
              <w:t xml:space="preserve">Периодическая отчетность. Форма 1-ФК «Сведения о физической культуре и спорте», приказ Росстата от 23.06.2023г. № 303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/>
              <w:jc w:val="center"/>
            </w:pPr>
            <w:r>
              <w:rPr>
                <w:rFonts w:ascii="Times New Roman" w:hAnsi="Times New Roman" w:eastAsia="Calibri" w:cs="Times New Roman"/>
                <w:iCs/>
                <w:sz w:val="18"/>
                <w:szCs w:val="18"/>
                <w:lang w:val="en-US" w:bidi="ar"/>
              </w:rPr>
              <w:t xml:space="preserve">47.1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МБУ «ЦФКИ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С», директор Дудко Юлия Юрьевна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/>
              <w:rPr>
                <w:rFonts w:ascii="Times New Roman" w:hAnsi="Times New Roman" w:eastAsia="Calibri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iCs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/>
              <w:jc w:val="center"/>
            </w:pPr>
            <w:r>
              <w:rPr>
                <w:rFonts w:ascii="Times New Roman" w:hAnsi="Times New Roman" w:eastAsia="Calibri" w:cs="Times New Roman"/>
                <w:iCs/>
                <w:sz w:val="18"/>
                <w:szCs w:val="18"/>
                <w:lang w:bidi="ar"/>
              </w:rPr>
              <w:t xml:space="preserve">До 10 февраля года, следующего за отчетным</w:t>
            </w:r>
          </w:p>
        </w:tc>
      </w:tr>
      <w:tr>
        <w:tc>
          <w:tcPr>
            <w:tcW w:w="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both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Доля населения Ивнянского района, систематически занимающих физической культурой и спортом, в общей численности населения района в возрасте от 3 до 79 лет, процент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/>
              <w:jc w:val="center"/>
            </w:pPr>
            <w:r>
              <w:rPr>
                <w:rFonts w:ascii="Times New Roman" w:hAnsi="Times New Roman" w:eastAsia="Calibri" w:cs="Times New Roman"/>
                <w:iCs/>
                <w:sz w:val="18"/>
                <w:szCs w:val="18"/>
                <w:lang w:val="en-US" w:bidi="ar"/>
              </w:rPr>
              <w:t xml:space="preserve">Процент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/>
            </w:pPr>
            <w:r>
              <w:rPr>
                <w:rFonts w:ascii="Times New Roman" w:hAnsi="Times New Roman" w:eastAsia="Calibri" w:cs="Times New Roman"/>
                <w:iCs/>
                <w:sz w:val="18"/>
                <w:szCs w:val="18"/>
                <w:lang w:bidi="ar"/>
              </w:rPr>
              <w:t xml:space="preserve">Отр</w:t>
            </w:r>
            <w:r>
              <w:rPr>
                <w:rFonts w:ascii="Times New Roman" w:hAnsi="Times New Roman" w:eastAsia="Calibri" w:cs="Times New Roman"/>
                <w:iCs/>
                <w:sz w:val="18"/>
                <w:szCs w:val="18"/>
                <w:lang w:bidi="ar"/>
              </w:rPr>
              <w:t xml:space="preserve">ажает долю граждан трудоспособного возраста, систематически занимающихся физической культурой и спортом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/>
              <w:jc w:val="center"/>
            </w:pPr>
            <w:r>
              <w:rPr>
                <w:rFonts w:ascii="Times New Roman" w:hAnsi="Times New Roman" w:eastAsia="Calibri" w:cs="Times New Roman"/>
                <w:iCs/>
                <w:sz w:val="18"/>
                <w:szCs w:val="18"/>
                <w:lang w:val="en-US" w:bidi="ar"/>
              </w:rPr>
              <w:t xml:space="preserve">Ежегодно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/>
              <w:jc w:val="center"/>
            </w:pPr>
            <w:r>
              <w:rPr>
                <w:rFonts w:ascii="Times New Roman" w:hAnsi="Times New Roman" w:eastAsia="Calibri" w:cs="Times New Roman"/>
                <w:iCs/>
                <w:sz w:val="18"/>
                <w:szCs w:val="18"/>
                <w:lang w:val="en-US" w:bidi="ar"/>
              </w:rPr>
              <w:t xml:space="preserve">Дз= Чз/Чн*100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/>
            </w:pPr>
            <w:r>
              <w:rPr>
                <w:rFonts w:ascii="Times New Roman" w:hAnsi="Times New Roman" w:eastAsia="Calibri" w:cs="Times New Roman"/>
                <w:iCs/>
                <w:sz w:val="18"/>
                <w:szCs w:val="18"/>
                <w:lang w:bidi="ar"/>
              </w:rPr>
              <w:t xml:space="preserve">Чз- численность занимающихся физической культурой и спортом в возрасте от 3 до 79 лет  в соответствии с данными федерального стат</w:t>
            </w:r>
            <w:r>
              <w:rPr>
                <w:rFonts w:ascii="Times New Roman" w:hAnsi="Times New Roman" w:eastAsia="Calibri" w:cs="Times New Roman"/>
                <w:iCs/>
                <w:sz w:val="18"/>
                <w:szCs w:val="18"/>
                <w:lang w:bidi="ar"/>
              </w:rPr>
              <w:t xml:space="preserve">истического наблюдения по форме 1-ФК «Сведения о физической культуре и спорте», чел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/>
            </w:pPr>
            <w:r>
              <w:rPr>
                <w:rFonts w:ascii="Times New Roman" w:hAnsi="Times New Roman" w:eastAsia="Calibri" w:cs="Times New Roman"/>
                <w:iCs/>
                <w:sz w:val="18"/>
                <w:szCs w:val="18"/>
                <w:lang w:bidi="ar"/>
              </w:rPr>
              <w:t xml:space="preserve">Периодическая отчетность. Форма 1-ФК «Сведения о физической культуре и спорте», приказ Росстата от 23.06.2023г. № 303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/>
              <w:jc w:val="center"/>
            </w:pPr>
            <w:r>
              <w:rPr>
                <w:rFonts w:ascii="Times New Roman" w:hAnsi="Times New Roman" w:eastAsia="Calibri" w:cs="Times New Roman"/>
                <w:iCs/>
                <w:sz w:val="18"/>
                <w:szCs w:val="18"/>
                <w:lang w:val="en-US" w:bidi="ar"/>
              </w:rPr>
              <w:t xml:space="preserve">47.1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МБУ «ЦФКИС», директор Дудко Юлия Юрьевна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/>
              <w:rPr>
                <w:rFonts w:ascii="Times New Roman" w:hAnsi="Times New Roman" w:eastAsia="Calibri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iCs/>
                <w:sz w:val="18"/>
                <w:szCs w:val="18"/>
              </w:rPr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spacing w:after="0"/>
              <w:jc w:val="center"/>
            </w:pPr>
            <w:r>
              <w:rPr>
                <w:rFonts w:ascii="Times New Roman" w:hAnsi="Times New Roman" w:eastAsia="Calibri" w:cs="Times New Roman"/>
                <w:iCs/>
                <w:sz w:val="18"/>
                <w:szCs w:val="18"/>
                <w:lang w:bidi="ar"/>
              </w:rPr>
              <w:t xml:space="preserve">До 10 </w:t>
            </w:r>
            <w:r>
              <w:rPr>
                <w:rFonts w:ascii="Times New Roman" w:hAnsi="Times New Roman" w:eastAsia="Calibri" w:cs="Times New Roman"/>
                <w:iCs/>
                <w:sz w:val="18"/>
                <w:szCs w:val="18"/>
                <w:lang w:bidi="ar"/>
              </w:rPr>
              <w:t xml:space="preserve">февраля года, следующего за отчетным</w:t>
            </w:r>
          </w:p>
        </w:tc>
      </w:tr>
    </w:tbl>
    <w:p>
      <w:pPr>
        <w:pStyle w:val="Normal"/>
        <w:spacing w:after="0" w:line="240" w:lineRule="auto"/>
        <w:ind w:right="74"/>
      </w:pPr>
    </w:p>
    <w:p>
      <w:pPr>
        <w:pStyle w:val="Normal"/>
        <w:spacing w:after="0" w:line="240" w:lineRule="auto"/>
        <w:ind w:right="74"/>
      </w:pPr>
    </w:p>
    <w:tbl>
      <w:tblPr>
        <w:tblW w:w="14960" w:type="dxa"/>
        <w:tblInd w:w="0" w:type="dxa"/>
        <w:tblLayout w:type="fixed"/>
        <w:tblCellMar>
          <w:left w:w="76" w:type="dxa"/>
          <w:top w:w="0" w:type="dxa"/>
          <w:right w:w="76" w:type="dxa"/>
          <w:bottom w:w="0" w:type="dxa"/>
        </w:tblCellMar>
      </w:tblPr>
      <w:tblGrid>
        <w:gridCol w:w="4820"/>
        <w:gridCol w:w="8014"/>
        <w:gridCol w:w="2126"/>
      </w:tblGrid>
      <w:tr>
        <w:trPr/>
        <w:tc>
          <w:tcPr>
            <w:tcW w:w="482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BodyText"/>
              <w:ind w:right="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Заместитель главы </w:t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BodyText"/>
              <w:ind w:right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администрации Ивнянского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района по социально-культурному развитию</w:t>
            </w:r>
            <w:r>
              <w:rPr>
                <w:sz w:val="26"/>
                <w:szCs w:val="26"/>
              </w:rPr>
            </w:r>
          </w:p>
        </w:tc>
        <w:tc>
          <w:tcPr>
            <w:tcW w:w="8014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BodyText"/>
              <w:ind w:right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126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BodyText"/>
              <w:ind w:right="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</w:p>
          <w:p>
            <w:pPr>
              <w:pStyle w:val="BodyText"/>
              <w:ind w:left="0" w:right="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</w:p>
          <w:p>
            <w:pPr>
              <w:pStyle w:val="BodyText"/>
              <w:ind w:right="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Т.В. Абраменко</w:t>
            </w:r>
          </w:p>
        </w:tc>
      </w:tr>
    </w:tbl>
    <w:sectPr>
      <w:headerReference w:type="even" r:id="rId8"/>
      <w:headerReference w:type="default" r:id="rId9"/>
      <w:headerReference w:type="first" r:id="rId10"/>
      <w:type w:val="nextPage"/>
      <w:pgSz w:w="16880" w:h="11840" w:orient="landscape"/>
      <w:pgMar w:top="1134" w:right="578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Devanagari">
    <w:panose1 w:val="020B0502040504020204"/>
  </w:font>
  <w:font w:name="Tahoma">
    <w:panose1 w:val="020B0604030504040204"/>
  </w:font>
  <w:font w:name="PT Astra Serif">
    <w:panose1 w:val="020A0603040505020204"/>
  </w:font>
  <w:font w:name="DejaVu Sans">
    <w:panose1 w:val="020B0603030804020204"/>
  </w:font>
  <w:font w:name="Segoe UI">
    <w:panose1 w:val="020B050204050402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DengXian">
    <w:panose1 w:val="02000603000000000000"/>
  </w:font>
  <w:font w:name="Calibri">
    <w:panose1 w:val="020F0502020204030204"/>
  </w:font>
  <w:font w:name="SimSun">
    <w:panose1 w:val="02000506000000020000"/>
  </w:font>
  <w:font w:name="Times New Roman">
    <w:panose1 w:val="02020603050405020304"/>
  </w:font>
  <w:font w:name="Cambria">
    <w:panose1 w:val="02040503050406030204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5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Normal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16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Normal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suff w:val="tab"/>
      <w:lvlText w:val=""/>
      <w:lvlJc w:val="left"/>
      <w:pPr>
        <w:pStyle w:val="Normal"/>
        <w:tabs>
          <w:tab w:val="num" w:pos="0" w:leader="none"/>
        </w:tabs>
        <w:ind w:left="1429" w:hanging="360"/>
      </w:pPr>
      <w:rPr>
        <w:rFonts w:ascii="Symbol" w:hAnsi="Symbol" w:cs="Symbol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0" w:leader="none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0" w:leader="none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0" w:leader="none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0" w:leader="none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0" w:leader="none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0" w:leader="none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0" w:leader="none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0" w:leader="none"/>
        </w:tabs>
        <w:ind w:left="7189" w:hanging="360"/>
      </w:pPr>
      <w:rPr>
        <w:rFonts w:ascii="Wingdings" w:hAnsi="Wingdings" w:cs="Wingdings"/>
      </w:rPr>
    </w:lvl>
  </w:abstractNum>
  <w:abstractNum w:abstractNumId="1">
    <w:multiLevelType w:val="hybridMultilevel"/>
    <w:lvl w:ilvl="0">
      <w:start w:val="1"/>
      <w:numFmt w:val="decimal"/>
      <w:suff w:val="space"/>
      <w:lvlText w:val="%1."/>
      <w:lvlJc w:val="left"/>
      <w:pPr>
        <w:pStyle w:val="Normal"/>
        <w:tabs>
          <w:tab w:val="num" w:pos="0" w:leader="none"/>
        </w:tabs>
        <w:ind w:left="0" w:firstLine="0"/>
      </w:pPr>
    </w:lvl>
  </w:abstractNum>
  <w:abstractNum w:abstractNumId="2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0" w:leader="none"/>
        </w:tabs>
        <w:ind w:left="720" w:hanging="360"/>
      </w:pPr>
      <w:rPr>
        <w:sz w:val="27"/>
        <w:szCs w:val="27"/>
      </w:r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0" w:leader="none"/>
        </w:tabs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0" w:leader="none"/>
        </w:tabs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0" w:leader="none"/>
        </w:tabs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0" w:leader="none"/>
        </w:tabs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0" w:leader="none"/>
        </w:tabs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0" w:leader="none"/>
        </w:tabs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0" w:leader="none"/>
        </w:tabs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0" w:leader="none"/>
        </w:tabs>
        <w:ind w:left="6480" w:hanging="180"/>
      </w:pPr>
    </w:lvl>
  </w:abstractNum>
  <w:abstractNum w:abstractNumId="3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0" w:leader="none"/>
        </w:tabs>
        <w:ind w:left="720" w:hanging="360"/>
      </w:pPr>
      <w:rPr>
        <w:sz w:val="27"/>
        <w:szCs w:val="27"/>
      </w:r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0" w:leader="none"/>
        </w:tabs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0" w:leader="none"/>
        </w:tabs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0" w:leader="none"/>
        </w:tabs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0" w:leader="none"/>
        </w:tabs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0" w:leader="none"/>
        </w:tabs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0" w:leader="none"/>
        </w:tabs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0" w:leader="none"/>
        </w:tabs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0" w:leader="none"/>
        </w:tabs>
        <w:ind w:left="6480" w:hanging="180"/>
      </w:pPr>
    </w:lvl>
  </w:abstractNum>
  <w:abstractNum w:abstractNumId="4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0" w:leader="none"/>
        </w:tabs>
        <w:ind w:left="720" w:hanging="360"/>
      </w:pPr>
      <w:rPr>
        <w:rFonts w:ascii="Times New Roman" w:hAnsi="Times New Roman" w:eastAsia="DengXian" w:cs="Times New Roman"/>
        <w:b/>
        <w:sz w:val="26"/>
        <w:szCs w:val="26"/>
      </w:rPr>
    </w:lvl>
    <w:lvl w:ilvl="1">
      <w:start w:val="1"/>
      <w:numFmt w:val="decimal"/>
      <w:suff w:val="tab"/>
      <w:lvlText w:val="%1.%2."/>
      <w:lvlJc w:val="left"/>
      <w:pPr>
        <w:pStyle w:val="Normal"/>
        <w:tabs>
          <w:tab w:val="num" w:pos="0" w:leader="none"/>
        </w:tabs>
        <w:ind w:left="1080" w:hanging="720"/>
      </w:pPr>
      <w:rPr>
        <w:sz w:val="26"/>
        <w:szCs w:val="26"/>
      </w:rPr>
    </w:lvl>
    <w:lvl w:ilvl="2">
      <w:start w:val="1"/>
      <w:numFmt w:val="decimal"/>
      <w:suff w:val="tab"/>
      <w:lvlText w:val="%1.%2.%3."/>
      <w:lvlJc w:val="left"/>
      <w:pPr>
        <w:pStyle w:val="Normal"/>
        <w:tabs>
          <w:tab w:val="num" w:pos="0" w:leader="none"/>
        </w:tabs>
        <w:ind w:left="1080" w:hanging="720"/>
      </w:pPr>
    </w:lvl>
    <w:lvl w:ilvl="3">
      <w:start w:val="1"/>
      <w:numFmt w:val="decimal"/>
      <w:suff w:val="tab"/>
      <w:lvlText w:val="%1.%2.%3.%4."/>
      <w:lvlJc w:val="left"/>
      <w:pPr>
        <w:pStyle w:val="Normal"/>
        <w:tabs>
          <w:tab w:val="num" w:pos="0" w:leader="none"/>
        </w:tabs>
        <w:ind w:left="1440" w:hanging="1080"/>
      </w:pPr>
    </w:lvl>
    <w:lvl w:ilvl="4">
      <w:start w:val="1"/>
      <w:numFmt w:val="decimal"/>
      <w:suff w:val="tab"/>
      <w:lvlText w:val="%1.%2.%3.%4.%5."/>
      <w:lvlJc w:val="left"/>
      <w:pPr>
        <w:pStyle w:val="Normal"/>
        <w:tabs>
          <w:tab w:val="num" w:pos="0" w:leader="none"/>
        </w:tabs>
        <w:ind w:left="1440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tabs>
          <w:tab w:val="num" w:pos="0" w:leader="none"/>
        </w:tabs>
        <w:ind w:left="1800" w:hanging="144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tabs>
          <w:tab w:val="num" w:pos="0" w:leader="none"/>
        </w:tabs>
        <w:ind w:left="1800" w:hanging="144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tabs>
          <w:tab w:val="num" w:pos="0" w:leader="none"/>
        </w:tabs>
        <w:ind w:left="2160" w:hanging="180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tabs>
          <w:tab w:val="num" w:pos="0" w:leader="none"/>
        </w:tabs>
        <w:ind w:left="2520" w:hanging="2160"/>
      </w:pPr>
    </w:lvl>
  </w:abstractNum>
  <w:abstractNum w:abstractNumId="5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0" w:leader="none"/>
        </w:tabs>
        <w:ind w:left="720" w:hanging="360"/>
      </w:pPr>
      <w:rPr>
        <w:b/>
        <w:sz w:val="27"/>
        <w:szCs w:val="27"/>
      </w:r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0" w:leader="none"/>
        </w:tabs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0" w:leader="none"/>
        </w:tabs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0" w:leader="none"/>
        </w:tabs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0" w:leader="none"/>
        </w:tabs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0" w:leader="none"/>
        </w:tabs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0" w:leader="none"/>
        </w:tabs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0" w:leader="none"/>
        </w:tabs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0" w:leader="none"/>
        </w:tabs>
        <w:ind w:left="6480" w:hanging="180"/>
      </w:pPr>
    </w:lvl>
  </w:abstractNum>
  <w:abstractNum w:abstractNumId="6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0" w:leader="none"/>
        </w:tabs>
        <w:ind w:left="720" w:hanging="360"/>
      </w:pPr>
      <w:rPr>
        <w:sz w:val="27"/>
        <w:szCs w:val="27"/>
      </w:r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0" w:leader="none"/>
        </w:tabs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0" w:leader="none"/>
        </w:tabs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0" w:leader="none"/>
        </w:tabs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0" w:leader="none"/>
        </w:tabs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0" w:leader="none"/>
        </w:tabs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0" w:leader="none"/>
        </w:tabs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0" w:leader="none"/>
        </w:tabs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0" w:leader="none"/>
        </w:tabs>
        <w:ind w:left="6480" w:hanging="180"/>
      </w:pPr>
    </w:lvl>
  </w:abstractNum>
  <w:abstractNum w:abstractNumId="7">
    <w:multiLevelType w:val="hybridMultilevel"/>
    <w:lvl w:ilvl="0">
      <w:start w:val="1"/>
      <w:numFmt w:val="bullet"/>
      <w:suff w:val="tab"/>
      <w:lvlText w:val=""/>
      <w:lvlJc w:val="left"/>
      <w:pPr>
        <w:pStyle w:val="Normal"/>
        <w:tabs>
          <w:tab w:val="num" w:pos="0" w:leader="none"/>
        </w:tabs>
        <w:ind w:left="1429" w:hanging="360"/>
      </w:pPr>
      <w:rPr>
        <w:rFonts w:ascii="Symbol" w:hAnsi="Symbol" w:cs="Symbol"/>
      </w:rPr>
    </w:lvl>
    <w:lvl w:ilvl="1">
      <w:start w:val="1"/>
      <w:numFmt w:val="bullet"/>
      <w:suff w:val="tab"/>
      <w:lvlText w:val="o"/>
      <w:lvlJc w:val="left"/>
      <w:pPr>
        <w:pStyle w:val="Normal"/>
        <w:tabs>
          <w:tab w:val="num" w:pos="0" w:leader="none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tabs>
          <w:tab w:val="num" w:pos="0" w:leader="none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suff w:val="tab"/>
      <w:lvlText w:val=""/>
      <w:lvlJc w:val="left"/>
      <w:pPr>
        <w:pStyle w:val="Normal"/>
        <w:tabs>
          <w:tab w:val="num" w:pos="0" w:leader="none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suff w:val="tab"/>
      <w:lvlText w:val="o"/>
      <w:lvlJc w:val="left"/>
      <w:pPr>
        <w:pStyle w:val="Normal"/>
        <w:tabs>
          <w:tab w:val="num" w:pos="0" w:leader="none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tabs>
          <w:tab w:val="num" w:pos="0" w:leader="none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suff w:val="tab"/>
      <w:lvlText w:val=""/>
      <w:lvlJc w:val="left"/>
      <w:pPr>
        <w:pStyle w:val="Normal"/>
        <w:tabs>
          <w:tab w:val="num" w:pos="0" w:leader="none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suff w:val="tab"/>
      <w:lvlText w:val="o"/>
      <w:lvlJc w:val="left"/>
      <w:pPr>
        <w:pStyle w:val="Normal"/>
        <w:tabs>
          <w:tab w:val="num" w:pos="0" w:leader="none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tabs>
          <w:tab w:val="num" w:pos="0" w:leader="none"/>
        </w:tabs>
        <w:ind w:left="7189" w:hanging="360"/>
      </w:pPr>
      <w:rPr>
        <w:rFonts w:ascii="Wingdings" w:hAnsi="Wingdings" w:cs="Wingdings"/>
      </w:rPr>
    </w:lvl>
  </w:abstractNum>
  <w:abstractNum w:abstractNumId="8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312" w:leader="none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/>
  <w:compat>
    <w:balanceSingleByteDoubleByteWidth w:val="true"/>
    <w:doNotLeaveBackslashAlone w:val="true"/>
    <w:ulTrailSpace w:val="true"/>
    <w:adjustLineHeightInTable w:val="true"/>
    <w:doNotWrapTextWithPunct w:val="true"/>
    <w:doNotUseEastAsianBreakRules w:val="true"/>
    <w:useWord2002TableStyleRules w:val="true"/>
    <w:growAutofit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SimSun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pPr>
      <w:spacing w:after="160" w:line="256" w:lineRule="auto"/>
    </w:pPr>
    <w:rPr>
      <w:rFonts w:ascii="Calibri" w:hAnsi="Calibri" w:eastAsia="DengXian" w:cs="Calibri"/>
      <w:sz w:val="22"/>
      <w:szCs w:val="22"/>
      <w:lang w:val="ru-RU" w:eastAsia="zh-CN" w:bidi="ar-SA"/>
    </w:rPr>
  </w:style>
  <w:style w:type="paragraph" w:styleId="Heading1">
    <w:name w:val="Заголовок 1"/>
    <w:basedOn w:val="Normal"/>
    <w:next w:val="Normal"/>
    <w:link w:val="Normal"/>
    <w:qFormat/>
    <w:pPr>
      <w:keepNext/>
      <w:numPr>
        <w:numId w:val="1"/>
        <w:ilvl w:val="0"/>
      </w:numPr>
      <w:spacing w:before="0" w:after="0" w:line="240" w:lineRule="auto"/>
      <w:outlineLvl w:val="0"/>
    </w:pPr>
    <w:rPr>
      <w:rFonts w:ascii="Times New Roman" w:hAnsi="Times New Roman" w:eastAsia="Times New Roman" w:cs="Times New Roman"/>
      <w:sz w:val="28"/>
      <w:szCs w:val="24"/>
      <w:lang w:val="zh-CN" w:eastAsia="zh-CN"/>
    </w:rPr>
  </w:style>
  <w:style w:type="character" w:styleId="NormalCharacter">
    <w:name w:val="Основной шрифт абзаца"/>
    <w:next w:val="NormalCharacter"/>
    <w:link w:val="Normal"/>
    <w:uiPriority w:val="1"/>
    <w:semiHidden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</w:style>
  <w:style w:type="numbering" w:styleId="NormalList">
    <w:name w:val="Нет списка"/>
    <w:next w:val="NormalList"/>
    <w:link w:val="Normal"/>
    <w:uiPriority w:val="99"/>
    <w:semiHidden/>
    <w:unhideWhenUsed/>
  </w:style>
  <w:style w:type="character" w:styleId="UserStyle_0">
    <w:name w:val="WW8Num2z0"/>
    <w:next w:val="UserStyle_0"/>
    <w:link w:val="Normal"/>
  </w:style>
  <w:style w:type="character" w:styleId="UserStyle_1">
    <w:name w:val="WW8Num3z0"/>
    <w:next w:val="UserStyle_1"/>
    <w:link w:val="Normal"/>
    <w:rPr>
      <w:rFonts w:ascii="Symbol" w:hAnsi="Symbol" w:cs="Symbol"/>
    </w:rPr>
  </w:style>
  <w:style w:type="character" w:styleId="UserStyle_2">
    <w:name w:val="WW8Num3z1"/>
    <w:next w:val="UserStyle_2"/>
    <w:link w:val="Normal"/>
    <w:rPr>
      <w:rFonts w:ascii="Courier New" w:hAnsi="Courier New" w:cs="Courier New"/>
    </w:rPr>
  </w:style>
  <w:style w:type="character" w:styleId="UserStyle_3">
    <w:name w:val="WW8Num3z2"/>
    <w:next w:val="UserStyle_3"/>
    <w:link w:val="Normal"/>
    <w:rPr>
      <w:rFonts w:ascii="Wingdings" w:hAnsi="Wingdings" w:cs="Wingdings"/>
    </w:rPr>
  </w:style>
  <w:style w:type="character" w:styleId="UserStyle_4">
    <w:name w:val="WW8Num4z0"/>
    <w:next w:val="UserStyle_4"/>
    <w:link w:val="Normal"/>
  </w:style>
  <w:style w:type="character" w:styleId="UserStyle_5">
    <w:name w:val="WW8Num5z0"/>
    <w:next w:val="UserStyle_5"/>
    <w:link w:val="Normal"/>
    <w:rPr>
      <w:rFonts w:eastAsia="DengXian"/>
      <w:b/>
    </w:rPr>
  </w:style>
  <w:style w:type="character" w:styleId="UserStyle_6">
    <w:name w:val="WW8Num5z1"/>
    <w:next w:val="UserStyle_6"/>
    <w:link w:val="Normal"/>
  </w:style>
  <w:style w:type="character" w:styleId="UserStyle_7">
    <w:name w:val="WW8Num6z0"/>
    <w:next w:val="UserStyle_7"/>
    <w:link w:val="Normal"/>
    <w:rPr>
      <w:b/>
      <w:sz w:val="27"/>
      <w:szCs w:val="27"/>
    </w:rPr>
  </w:style>
  <w:style w:type="character" w:styleId="UserStyle_8">
    <w:name w:val="WW8Num7z0"/>
    <w:next w:val="UserStyle_8"/>
    <w:link w:val="Normal"/>
  </w:style>
  <w:style w:type="character" w:styleId="UserStyle_9">
    <w:name w:val="WW8Num8z0"/>
    <w:next w:val="UserStyle_9"/>
    <w:link w:val="Normal"/>
    <w:rPr>
      <w:rFonts w:ascii="Symbol" w:hAnsi="Symbol" w:cs="Symbol"/>
    </w:rPr>
  </w:style>
  <w:style w:type="character" w:styleId="UserStyle_10">
    <w:name w:val="WW8Num8z1"/>
    <w:next w:val="UserStyle_10"/>
    <w:link w:val="Normal"/>
    <w:rPr>
      <w:rFonts w:ascii="Courier New" w:hAnsi="Courier New" w:cs="Courier New"/>
    </w:rPr>
  </w:style>
  <w:style w:type="character" w:styleId="UserStyle_11">
    <w:name w:val="WW8Num8z2"/>
    <w:next w:val="UserStyle_11"/>
    <w:link w:val="Normal"/>
    <w:rPr>
      <w:rFonts w:ascii="Wingdings" w:hAnsi="Wingdings" w:cs="Wingdings"/>
    </w:rPr>
  </w:style>
  <w:style w:type="character" w:styleId="UserStyle_12">
    <w:name w:val="Основной шрифт абзаца1"/>
    <w:next w:val="UserStyle_12"/>
    <w:link w:val="Normal"/>
  </w:style>
  <w:style w:type="character" w:styleId="UserStyle_13">
    <w:name w:val="Заголовок 1 Знак"/>
    <w:next w:val="UserStyle_13"/>
    <w:link w:val="Normal"/>
    <w:rPr>
      <w:rFonts w:ascii="Times New Roman" w:hAnsi="Times New Roman" w:eastAsia="Times New Roman" w:cs="Times New Roman"/>
      <w:sz w:val="28"/>
      <w:szCs w:val="24"/>
      <w:lang w:val="zh-CN" w:eastAsia="zh-CN"/>
    </w:rPr>
  </w:style>
  <w:style w:type="character" w:styleId="UserStyle_14">
    <w:name w:val="Символ сноски"/>
    <w:next w:val="UserStyle_14"/>
    <w:link w:val="Normal"/>
    <w:rPr>
      <w:rFonts w:cs="Times New Roman"/>
      <w:vertAlign w:val="superscript"/>
    </w:rPr>
  </w:style>
  <w:style w:type="character" w:styleId="UserStyle_15">
    <w:name w:val="Знак примечания1"/>
    <w:next w:val="UserStyle_15"/>
    <w:link w:val="Normal"/>
    <w:rPr>
      <w:rFonts w:cs="Times New Roman"/>
      <w:sz w:val="16"/>
      <w:szCs w:val="16"/>
    </w:rPr>
  </w:style>
  <w:style w:type="character" w:styleId="UserStyle_16">
    <w:name w:val="Символ концевой сноски"/>
    <w:next w:val="UserStyle_16"/>
    <w:link w:val="Normal"/>
    <w:rPr>
      <w:rFonts w:cs="Times New Roman"/>
      <w:vertAlign w:val="superscript"/>
    </w:rPr>
  </w:style>
  <w:style w:type="character" w:styleId="Hyperlink">
    <w:name w:val="Гиперссылка"/>
    <w:next w:val="Hyperlink"/>
    <w:link w:val="Normal"/>
    <w:rPr>
      <w:rFonts w:cs="Times New Roman"/>
      <w:color w:val="0000ff"/>
      <w:u w:val="single"/>
    </w:rPr>
  </w:style>
  <w:style w:type="character" w:styleId="PageNumber">
    <w:name w:val="Номер страницы"/>
    <w:next w:val="PageNumber"/>
    <w:link w:val="Normal"/>
    <w:rPr>
      <w:rFonts w:cs="Times New Roman"/>
    </w:rPr>
  </w:style>
  <w:style w:type="character" w:styleId="Strong">
    <w:name w:val="Строгий"/>
    <w:next w:val="Strong"/>
    <w:link w:val="Normal"/>
    <w:qFormat/>
    <w:rPr>
      <w:b/>
      <w:bCs/>
    </w:rPr>
  </w:style>
  <w:style w:type="character" w:styleId="UserStyle_17">
    <w:name w:val="Текст выноски Знак"/>
    <w:next w:val="UserStyle_17"/>
    <w:link w:val="Normal"/>
    <w:rPr>
      <w:rFonts w:ascii="Segoe UI" w:hAnsi="Segoe UI" w:cs="Segoe UI"/>
      <w:sz w:val="18"/>
      <w:szCs w:val="18"/>
    </w:rPr>
  </w:style>
  <w:style w:type="character" w:styleId="UserStyle_18">
    <w:name w:val="Текст концевой сноски Знак"/>
    <w:next w:val="UserStyle_18"/>
    <w:link w:val="Normal"/>
    <w:rPr>
      <w:rFonts w:ascii="Times New Roman" w:hAnsi="Times New Roman" w:cs="Times New Roman"/>
      <w:sz w:val="20"/>
      <w:szCs w:val="20"/>
    </w:rPr>
  </w:style>
  <w:style w:type="character" w:styleId="UserStyle_19">
    <w:name w:val="Текст примечания Знак"/>
    <w:next w:val="UserStyle_19"/>
    <w:link w:val="Normal"/>
    <w:rPr>
      <w:rFonts w:cs="Times New Roman"/>
      <w:sz w:val="20"/>
      <w:szCs w:val="20"/>
    </w:rPr>
  </w:style>
  <w:style w:type="character" w:styleId="UserStyle_20">
    <w:name w:val="Тема примечания Знак"/>
    <w:next w:val="UserStyle_20"/>
    <w:link w:val="Normal"/>
    <w:rPr>
      <w:rFonts w:cs="Times New Roman"/>
      <w:b/>
      <w:bCs/>
      <w:sz w:val="20"/>
      <w:szCs w:val="20"/>
    </w:rPr>
  </w:style>
  <w:style w:type="character" w:styleId="UserStyle_21">
    <w:name w:val="Текст сноски Знак"/>
    <w:next w:val="UserStyle_21"/>
    <w:link w:val="Normal"/>
    <w:rPr>
      <w:rFonts w:cs="Times New Roman"/>
      <w:sz w:val="20"/>
      <w:szCs w:val="20"/>
    </w:rPr>
  </w:style>
  <w:style w:type="character" w:styleId="UserStyle_22">
    <w:name w:val="Верхний колонтитул Знак"/>
    <w:next w:val="UserStyle_22"/>
    <w:link w:val="Normal"/>
    <w:rPr>
      <w:rFonts w:cs="Times New Roman"/>
    </w:rPr>
  </w:style>
  <w:style w:type="character" w:styleId="UserStyle_23">
    <w:name w:val="Основной текст Знак"/>
    <w:next w:val="UserStyle_23"/>
    <w:link w:val="Normal"/>
    <w:rPr>
      <w:rFonts w:ascii="Times New Roman" w:hAnsi="Times New Roman" w:cs="Times New Roman"/>
      <w:sz w:val="28"/>
      <w:szCs w:val="28"/>
      <w:lang w:val="zh-CN"/>
    </w:rPr>
  </w:style>
  <w:style w:type="character" w:styleId="UserStyle_24">
    <w:name w:val="Нижний колонтитул Знак"/>
    <w:next w:val="UserStyle_24"/>
    <w:link w:val="Normal"/>
    <w:rPr>
      <w:rFonts w:cs="Times New Roman"/>
    </w:rPr>
  </w:style>
  <w:style w:type="character" w:styleId="UserStyle_25">
    <w:name w:val="Подзаголовок Знак"/>
    <w:next w:val="UserStyle_25"/>
    <w:link w:val="Normal"/>
    <w:rPr>
      <w:rFonts w:cs="Times New Roman"/>
      <w:color w:val="5a5a5a"/>
      <w:spacing w:val="15"/>
      <w:lang w:val="zh-CN"/>
    </w:rPr>
  </w:style>
  <w:style w:type="character" w:styleId="UserStyle_26">
    <w:name w:val="Font Style26"/>
    <w:next w:val="UserStyle_26"/>
    <w:link w:val="Normal"/>
    <w:rPr>
      <w:rFonts w:ascii="Times New Roman" w:hAnsi="Times New Roman" w:cs="Times New Roman"/>
      <w:sz w:val="26"/>
    </w:rPr>
  </w:style>
  <w:style w:type="character" w:styleId="UserStyle_27">
    <w:name w:val="Верхний колонтитул Знак1"/>
    <w:next w:val="UserStyle_27"/>
    <w:link w:val="Normal"/>
  </w:style>
  <w:style w:type="character" w:styleId="UserStyle_28">
    <w:name w:val="Нижний колонтитул Знак1"/>
    <w:next w:val="UserStyle_28"/>
    <w:link w:val="Normal"/>
  </w:style>
  <w:style w:type="character" w:styleId="UserStyle_29">
    <w:name w:val="Текст сноски Знак1"/>
    <w:next w:val="UserStyle_29"/>
    <w:link w:val="Normal"/>
    <w:rPr>
      <w:sz w:val="20"/>
      <w:szCs w:val="20"/>
    </w:rPr>
  </w:style>
  <w:style w:type="character" w:styleId="UserStyle_30">
    <w:name w:val="Текст выноски Знак1"/>
    <w:next w:val="UserStyle_30"/>
    <w:link w:val="Normal"/>
    <w:rPr>
      <w:rFonts w:ascii="Segoe UI" w:hAnsi="Segoe UI" w:cs="Segoe UI"/>
      <w:sz w:val="18"/>
      <w:szCs w:val="18"/>
    </w:rPr>
  </w:style>
  <w:style w:type="character" w:styleId="UserStyle_31">
    <w:name w:val="Текст примечания Знак1"/>
    <w:next w:val="UserStyle_31"/>
    <w:link w:val="Normal"/>
    <w:rPr>
      <w:sz w:val="20"/>
      <w:szCs w:val="20"/>
    </w:rPr>
  </w:style>
  <w:style w:type="character" w:styleId="UserStyle_32">
    <w:name w:val="Тема примечания Знак1"/>
    <w:next w:val="UserStyle_32"/>
    <w:link w:val="Normal"/>
    <w:rPr>
      <w:b/>
      <w:bCs/>
      <w:sz w:val="20"/>
      <w:szCs w:val="20"/>
    </w:rPr>
  </w:style>
  <w:style w:type="character" w:styleId="UserStyle_33">
    <w:name w:val="Подзаголовок Знак1"/>
    <w:next w:val="UserStyle_33"/>
    <w:link w:val="Normal"/>
    <w:rPr>
      <w:rFonts w:eastAsia="DengXian"/>
      <w:color w:val="595959"/>
      <w:spacing w:val="15"/>
    </w:rPr>
  </w:style>
  <w:style w:type="character" w:styleId="UserStyle_34">
    <w:name w:val="Основной текст Знак1"/>
    <w:next w:val="UserStyle_34"/>
    <w:link w:val="Normal"/>
  </w:style>
  <w:style w:type="character" w:styleId="UserStyle_35">
    <w:name w:val="Текст концевой сноски Знак1"/>
    <w:next w:val="UserStyle_35"/>
    <w:link w:val="Normal"/>
    <w:rPr>
      <w:sz w:val="20"/>
      <w:szCs w:val="20"/>
    </w:rPr>
  </w:style>
  <w:style w:type="paragraph" w:styleId="UserStyle_36">
    <w:name w:val="Заголовок1"/>
    <w:basedOn w:val="Normal"/>
    <w:next w:val="BodyText"/>
    <w:link w:val="Normal"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Основной текст"/>
    <w:basedOn w:val="Normal"/>
    <w:next w:val="BodyText"/>
    <w:link w:val="Normal"/>
    <w:pPr>
      <w:widowControl w:val="off"/>
      <w:spacing w:before="0" w:after="0" w:line="240" w:lineRule="auto"/>
      <w:ind w:left="112" w:right="0" w:firstLine="0"/>
    </w:pPr>
    <w:rPr>
      <w:rFonts w:ascii="Times New Roman" w:hAnsi="Times New Roman" w:cs="Times New Roman"/>
      <w:sz w:val="28"/>
      <w:szCs w:val="28"/>
    </w:rPr>
  </w:style>
  <w:style w:type="paragraph" w:styleId="List">
    <w:name w:val="Список"/>
    <w:basedOn w:val="BodyText"/>
    <w:next w:val="List"/>
    <w:link w:val="Normal"/>
    <w:rPr>
      <w:rFonts w:ascii="PT Astra Serif" w:hAnsi="PT Astra Serif" w:cs="Noto Sans Devanagari"/>
    </w:rPr>
  </w:style>
  <w:style w:type="paragraph" w:styleId="Caption">
    <w:name w:val="Название объекта"/>
    <w:basedOn w:val="Normal"/>
    <w:next w:val="Caption"/>
    <w:link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UserStyle_37">
    <w:name w:val="Указатель1"/>
    <w:basedOn w:val="Normal"/>
    <w:next w:val="UserStyle_37"/>
    <w:link w:val="Normal"/>
    <w:pPr>
      <w:suppressLineNumbers/>
    </w:pPr>
    <w:rPr>
      <w:rFonts w:ascii="PT Astra Serif" w:hAnsi="PT Astra Serif" w:cs="Noto Sans Devanagari"/>
    </w:rPr>
  </w:style>
  <w:style w:type="paragraph" w:styleId="Acetate">
    <w:name w:val="Текст выноски"/>
    <w:basedOn w:val="Normal"/>
    <w:next w:val="Acetate"/>
    <w:link w:val="Normal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paragraph" w:styleId="EndnoteText">
    <w:name w:val="Текст концевой сноски"/>
    <w:basedOn w:val="Normal"/>
    <w:next w:val="EndnoteText"/>
    <w:link w:val="Normal"/>
    <w:pPr>
      <w:spacing w:before="0" w:after="0" w:line="360" w:lineRule="atLeast"/>
      <w:jc w:val="both"/>
    </w:pPr>
    <w:rPr>
      <w:rFonts w:ascii="Times New Roman" w:hAnsi="Times New Roman" w:cs="Times New Roman"/>
      <w:sz w:val="20"/>
      <w:szCs w:val="20"/>
    </w:rPr>
  </w:style>
  <w:style w:type="paragraph" w:styleId="UserStyle_38">
    <w:name w:val="Текст примечания2"/>
    <w:basedOn w:val="Normal"/>
    <w:next w:val="UserStyle_38"/>
    <w:link w:val="Normal"/>
    <w:rPr>
      <w:sz w:val="20"/>
      <w:szCs w:val="20"/>
    </w:rPr>
  </w:style>
  <w:style w:type="paragraph" w:styleId="AnnotationSubject">
    <w:name w:val="Тема примечания"/>
    <w:basedOn w:val="UserStyle_38"/>
    <w:next w:val="UserStyle_38"/>
    <w:link w:val="Normal"/>
    <w:rPr>
      <w:b/>
      <w:bCs/>
    </w:rPr>
  </w:style>
  <w:style w:type="paragraph" w:styleId="FootnoteText">
    <w:name w:val="Текст сноски"/>
    <w:basedOn w:val="Normal"/>
    <w:next w:val="FootnoteText"/>
    <w:link w:val="Normal"/>
    <w:rPr>
      <w:sz w:val="20"/>
      <w:szCs w:val="20"/>
    </w:rPr>
  </w:style>
  <w:style w:type="paragraph" w:styleId="UserStyle_39">
    <w:name w:val="Колонтитул"/>
    <w:basedOn w:val="Normal"/>
    <w:next w:val="UserStyle_39"/>
    <w:link w:val="Normal"/>
    <w:pPr>
      <w:suppressLineNumbers/>
      <w:tabs>
        <w:tab w:val="center" w:pos="4819" w:leader="none"/>
        <w:tab w:val="right" w:pos="9638" w:leader="none"/>
      </w:tabs>
    </w:pPr>
  </w:style>
  <w:style w:type="paragraph" w:styleId="Header">
    <w:name w:val="Верхний колонтитул"/>
    <w:basedOn w:val="Normal"/>
    <w:next w:val="Header"/>
    <w:link w:val="Normal"/>
    <w:pPr>
      <w:tabs>
        <w:tab w:val="center" w:pos="4677" w:leader="none"/>
        <w:tab w:val="right" w:pos="9355" w:leader="none"/>
      </w:tabs>
    </w:pPr>
  </w:style>
  <w:style w:type="paragraph" w:styleId="Footer">
    <w:name w:val="Нижний колонтитул"/>
    <w:basedOn w:val="Normal"/>
    <w:next w:val="Footer"/>
    <w:link w:val="Normal"/>
    <w:pPr>
      <w:tabs>
        <w:tab w:val="center" w:pos="4677" w:leader="none"/>
        <w:tab w:val="right" w:pos="9355" w:leader="none"/>
      </w:tabs>
    </w:pPr>
  </w:style>
  <w:style w:type="paragraph" w:styleId="HtmlNormal">
    <w:name w:val="Обычный (веб)"/>
    <w:basedOn w:val="Normal"/>
    <w:next w:val="HtmlNormal"/>
    <w:link w:val="Normal"/>
    <w:pPr>
      <w:spacing w:before="0" w:after="0" w:line="360" w:lineRule="atLeast"/>
      <w:jc w:val="both"/>
    </w:pPr>
    <w:rPr>
      <w:rFonts w:ascii="Times New Roman" w:hAnsi="Times New Roman" w:cs="Times New Roman"/>
      <w:sz w:val="24"/>
      <w:szCs w:val="24"/>
    </w:rPr>
  </w:style>
  <w:style w:type="paragraph" w:styleId="Subtitle">
    <w:name w:val="Подзаголовок"/>
    <w:basedOn w:val="Normal"/>
    <w:next w:val="Normal"/>
    <w:link w:val="Normal"/>
    <w:qFormat/>
    <w:rPr>
      <w:color w:val="5a5a5a"/>
      <w:spacing w:val="15"/>
    </w:rPr>
  </w:style>
  <w:style w:type="paragraph" w:styleId="UserStyle_40">
    <w:name w:val="ConsPlusNormal"/>
    <w:next w:val="UserStyle_40"/>
    <w:link w:val="Normal"/>
    <w:pPr>
      <w:widowControl w:val="off"/>
    </w:pPr>
    <w:rPr>
      <w:rFonts w:ascii="Calibri" w:hAnsi="Calibri" w:eastAsia="DengXian" w:cs="Calibri"/>
      <w:sz w:val="22"/>
      <w:lang w:val="ru-RU" w:eastAsia="zh-CN" w:bidi="ar-SA"/>
    </w:rPr>
  </w:style>
  <w:style w:type="paragraph" w:styleId="179">
    <w:name w:val="Абзац списка"/>
    <w:basedOn w:val="Normal"/>
    <w:next w:val="179"/>
    <w:link w:val="Normal"/>
    <w:qFormat/>
    <w:pPr>
      <w:spacing w:before="0" w:after="200" w:line="276" w:lineRule="auto"/>
      <w:ind w:left="720" w:right="0" w:firstLine="0"/>
      <w:contextualSpacing/>
    </w:pPr>
  </w:style>
  <w:style w:type="paragraph" w:styleId="UserStyle_41">
    <w:name w:val="ConsPlusTitle"/>
    <w:next w:val="UserStyle_41"/>
    <w:link w:val="Normal"/>
    <w:pPr>
      <w:widowControl w:val="off"/>
    </w:pPr>
    <w:rPr>
      <w:rFonts w:ascii="Calibri" w:hAnsi="Calibri" w:eastAsia="DengXian" w:cs="Calibri"/>
      <w:b/>
      <w:sz w:val="22"/>
      <w:lang w:val="ru-RU" w:eastAsia="zh-CN" w:bidi="ar-SA"/>
    </w:rPr>
  </w:style>
  <w:style w:type="paragraph" w:styleId="UserStyle_42">
    <w:name w:val="Default"/>
    <w:next w:val="UserStyle_42"/>
    <w:link w:val="Normal"/>
    <w:rPr>
      <w:rFonts w:eastAsia="DengXian"/>
      <w:color w:val="000000"/>
      <w:sz w:val="24"/>
      <w:szCs w:val="24"/>
      <w:lang w:val="ru-RU" w:eastAsia="zh-CN" w:bidi="ar-SA"/>
    </w:rPr>
  </w:style>
  <w:style w:type="paragraph" w:styleId="UserStyle_43">
    <w:name w:val="ConsPlusTitlePage"/>
    <w:next w:val="UserStyle_43"/>
    <w:link w:val="Normal"/>
    <w:pPr>
      <w:widowControl w:val="off"/>
    </w:pPr>
    <w:rPr>
      <w:rFonts w:ascii="Tahoma" w:hAnsi="Tahoma" w:eastAsia="DengXian" w:cs="Tahoma"/>
      <w:lang w:val="ru-RU" w:eastAsia="zh-CN" w:bidi="ar-SA"/>
    </w:rPr>
  </w:style>
  <w:style w:type="paragraph" w:styleId="UserStyle_44">
    <w:name w:val="Revision"/>
    <w:next w:val="UserStyle_44"/>
    <w:link w:val="Normal"/>
    <w:rPr>
      <w:rFonts w:eastAsia="DengXian"/>
      <w:sz w:val="28"/>
      <w:lang w:val="ru-RU" w:eastAsia="zh-CN" w:bidi="ar-SA"/>
    </w:rPr>
  </w:style>
  <w:style w:type="paragraph" w:styleId="UserStyle_45">
    <w:name w:val="msonormal"/>
    <w:basedOn w:val="Normal"/>
    <w:next w:val="UserStyle_45"/>
    <w:link w:val="Normal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UserStyle_46">
    <w:name w:val="Table Paragraph"/>
    <w:basedOn w:val="Normal"/>
    <w:next w:val="UserStyle_46"/>
    <w:link w:val="Normal"/>
    <w:pPr>
      <w:widowControl w:val="off"/>
      <w:spacing w:before="0" w:after="0" w:line="240" w:lineRule="auto"/>
    </w:pPr>
    <w:rPr>
      <w:rFonts w:eastAsia="Calibri" w:cs="Times New Roman"/>
      <w:lang w:val="en-US"/>
    </w:rPr>
  </w:style>
  <w:style w:type="paragraph" w:styleId="UserStyle_47">
    <w:name w:val="Верхний колонтитул1"/>
    <w:basedOn w:val="Normal"/>
    <w:next w:val="Header"/>
    <w:link w:val="Normal"/>
    <w:pPr>
      <w:tabs>
        <w:tab w:val="center" w:pos="4677" w:leader="none"/>
        <w:tab w:val="right" w:pos="9355" w:leader="none"/>
      </w:tabs>
    </w:pPr>
    <w:rPr>
      <w:rFonts w:eastAsia="Calibri" w:cs="Times New Roman"/>
    </w:rPr>
  </w:style>
  <w:style w:type="paragraph" w:styleId="UserStyle_48">
    <w:name w:val="Нижний колонтитул1"/>
    <w:basedOn w:val="Normal"/>
    <w:next w:val="Footer"/>
    <w:link w:val="Normal"/>
    <w:pPr>
      <w:tabs>
        <w:tab w:val="center" w:pos="4677" w:leader="none"/>
        <w:tab w:val="right" w:pos="9355" w:leader="none"/>
      </w:tabs>
    </w:pPr>
    <w:rPr>
      <w:rFonts w:eastAsia="Calibri" w:cs="Times New Roman"/>
    </w:rPr>
  </w:style>
  <w:style w:type="paragraph" w:styleId="UserStyle_49">
    <w:name w:val="Текст сноски1"/>
    <w:basedOn w:val="Normal"/>
    <w:next w:val="FootnoteText"/>
    <w:link w:val="Normal"/>
    <w:rPr>
      <w:rFonts w:eastAsia="Calibri" w:cs="Times New Roman"/>
      <w:sz w:val="20"/>
      <w:szCs w:val="20"/>
    </w:rPr>
  </w:style>
  <w:style w:type="paragraph" w:styleId="UserStyle_50">
    <w:name w:val="Абзац списка1"/>
    <w:basedOn w:val="Normal"/>
    <w:next w:val="179"/>
    <w:link w:val="Normal"/>
    <w:pPr>
      <w:spacing w:before="0" w:after="200" w:line="276" w:lineRule="auto"/>
      <w:ind w:left="720" w:right="0" w:firstLine="0"/>
      <w:contextualSpacing/>
    </w:pPr>
    <w:rPr>
      <w:rFonts w:eastAsia="Times New Roman"/>
    </w:rPr>
  </w:style>
  <w:style w:type="paragraph" w:styleId="UserStyle_51">
    <w:name w:val="Текст выноски1"/>
    <w:basedOn w:val="Normal"/>
    <w:next w:val="Acetate"/>
    <w:link w:val="Normal"/>
    <w:pPr>
      <w:spacing w:before="0" w:after="0" w:line="240" w:lineRule="auto"/>
    </w:pPr>
    <w:rPr>
      <w:rFonts w:ascii="Segoe UI" w:hAnsi="Segoe UI" w:eastAsia="Calibri" w:cs="Segoe UI"/>
      <w:sz w:val="18"/>
      <w:szCs w:val="18"/>
    </w:rPr>
  </w:style>
  <w:style w:type="paragraph" w:styleId="UserStyle_52">
    <w:name w:val="Текст примечания1"/>
    <w:basedOn w:val="Normal"/>
    <w:next w:val="UserStyle_38"/>
    <w:link w:val="Normal"/>
    <w:rPr>
      <w:rFonts w:eastAsia="Calibri" w:cs="Times New Roman"/>
      <w:sz w:val="20"/>
      <w:szCs w:val="20"/>
    </w:rPr>
  </w:style>
  <w:style w:type="paragraph" w:styleId="UserStyle_53">
    <w:name w:val="Тема примечания1"/>
    <w:basedOn w:val="UserStyle_38"/>
    <w:next w:val="UserStyle_38"/>
    <w:link w:val="Normal"/>
    <w:rPr>
      <w:rFonts w:eastAsia="Times New Roman"/>
      <w:b/>
      <w:bCs/>
    </w:rPr>
  </w:style>
  <w:style w:type="paragraph" w:styleId="UserStyle_54">
    <w:name w:val="Подзаголовок1"/>
    <w:basedOn w:val="Normal"/>
    <w:next w:val="Normal"/>
    <w:link w:val="Normal"/>
    <w:rPr>
      <w:rFonts w:eastAsia="Times New Roman"/>
      <w:color w:val="5a5a5a"/>
      <w:spacing w:val="15"/>
    </w:rPr>
  </w:style>
  <w:style w:type="paragraph" w:styleId="UserStyle_55">
    <w:name w:val="Основной текст1"/>
    <w:basedOn w:val="Normal"/>
    <w:next w:val="BodyText"/>
    <w:link w:val="Normal"/>
    <w:pPr>
      <w:widowControl w:val="off"/>
      <w:spacing w:before="0" w:after="0" w:line="240" w:lineRule="auto"/>
      <w:ind w:left="112" w:right="0" w:firstLine="0"/>
    </w:pPr>
    <w:rPr>
      <w:rFonts w:ascii="Times New Roman" w:hAnsi="Times New Roman" w:eastAsia="Calibri" w:cs="Times New Roman"/>
      <w:sz w:val="28"/>
      <w:szCs w:val="28"/>
    </w:rPr>
  </w:style>
  <w:style w:type="paragraph" w:styleId="UserStyle_56">
    <w:name w:val="Текст концевой сноски1"/>
    <w:basedOn w:val="Normal"/>
    <w:next w:val="EndnoteText"/>
    <w:link w:val="Normal"/>
    <w:pPr>
      <w:spacing w:before="0" w:after="0" w:line="360" w:lineRule="atLeast"/>
      <w:jc w:val="both"/>
    </w:pPr>
    <w:rPr>
      <w:rFonts w:ascii="Times New Roman" w:hAnsi="Times New Roman" w:eastAsia="Calibri" w:cs="Times New Roman"/>
      <w:sz w:val="20"/>
      <w:szCs w:val="20"/>
    </w:rPr>
  </w:style>
  <w:style w:type="paragraph" w:styleId="UserStyle_57">
    <w:name w:val="Обычный (Интернет)1"/>
    <w:basedOn w:val="Normal"/>
    <w:next w:val="HtmlNormal"/>
    <w:link w:val="Normal"/>
    <w:pPr>
      <w:spacing w:before="0" w:after="0" w:line="360" w:lineRule="atLeast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UserStyle_58">
    <w:name w:val="Рецензия1"/>
    <w:next w:val="UserStyle_44"/>
    <w:link w:val="Normal"/>
    <w:rPr>
      <w:sz w:val="28"/>
      <w:lang w:val="ru-RU" w:eastAsia="zh-CN" w:bidi="ar-SA"/>
    </w:rPr>
  </w:style>
  <w:style w:type="paragraph" w:styleId="UserStyle_59">
    <w:name w:val="Содержимое таблицы"/>
    <w:basedOn w:val="Normal"/>
    <w:next w:val="UserStyle_59"/>
    <w:link w:val="Normal"/>
    <w:pPr>
      <w:widowControl w:val="off"/>
      <w:suppressLineNumbers/>
    </w:pPr>
  </w:style>
  <w:style w:type="paragraph" w:styleId="UserStyle_60">
    <w:name w:val="Заголовок таблицы"/>
    <w:basedOn w:val="UserStyle_59"/>
    <w:next w:val="UserStyle_60"/>
    <w:link w:val="Normal"/>
    <w:pPr>
      <w:suppressLineNumbers/>
      <w:jc w:val="center"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header" Target="header3.xml" /><Relationship Id="rId10" Type="http://schemas.openxmlformats.org/officeDocument/2006/relationships/header" Target="header4.xml" /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haracters>48677</Characters>
  <CharactersWithSpaces>57102</CharactersWithSpaces>
  <DocSecurity>0</DocSecurity>
  <HyperlinksChanged>false</HyperlinksChanged>
  <Lines>405</Lines>
  <Pages>31</Pages>
  <Paragraphs>114</Paragraphs>
  <ScaleCrop>false</ScaleCrop>
  <SharedDoc>false</SharedDoc>
  <Template>Normal.dotm</Template>
  <Words>8539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user</cp:lastModifiedBy>
  <cp:revision>3</cp:revision>
  <dcterms:created xsi:type="dcterms:W3CDTF">2024-12-27T07:29:00Z</dcterms:created>
  <dcterms:modified xsi:type="dcterms:W3CDTF">2025-12-16T13:22:00Z</dcterms:modified>
  <cp:version>1048576</cp:version>
</cp:coreProperties>
</file>